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uto"/>
        <w:jc w:val="center"/>
        <w:rPr>
          <w:rFonts w:ascii="黑体" w:hAnsi="黑体" w:eastAsia="黑体" w:cs="Tahoma"/>
          <w:b/>
          <w:color w:val="000000"/>
          <w:kern w:val="0"/>
          <w:sz w:val="32"/>
          <w:szCs w:val="32"/>
        </w:rPr>
      </w:pPr>
      <w:bookmarkStart w:id="0" w:name="_Hlk54795461"/>
      <w:r>
        <w:rPr>
          <w:rFonts w:hint="eastAsia" w:ascii="黑体" w:hAnsi="黑体" w:eastAsia="黑体" w:cs="Tahoma"/>
          <w:b/>
          <w:color w:val="000000"/>
          <w:kern w:val="0"/>
          <w:sz w:val="32"/>
          <w:szCs w:val="32"/>
        </w:rPr>
        <w:t>会计学院研究生国家奖学金评定计分标准</w:t>
      </w:r>
      <w:bookmarkEnd w:id="0"/>
    </w:p>
    <w:p>
      <w:pPr>
        <w:widowControl/>
        <w:shd w:val="clear" w:color="auto" w:fill="FFFFFF"/>
        <w:spacing w:line="300" w:lineRule="auto"/>
        <w:ind w:firstLine="560"/>
        <w:jc w:val="left"/>
        <w:rPr>
          <w:rFonts w:hAnsi="Tahoma" w:cs="Tahoma"/>
          <w:color w:val="000000"/>
          <w:kern w:val="0"/>
          <w:sz w:val="24"/>
        </w:rPr>
      </w:pPr>
    </w:p>
    <w:p>
      <w:pPr>
        <w:widowControl/>
        <w:shd w:val="clear" w:color="auto" w:fill="FFFFFF"/>
        <w:spacing w:line="300" w:lineRule="auto"/>
        <w:ind w:firstLine="560"/>
        <w:jc w:val="left"/>
        <w:rPr>
          <w:rFonts w:hAnsi="Tahoma" w:cs="Tahoma"/>
          <w:color w:val="000000"/>
          <w:kern w:val="0"/>
          <w:sz w:val="24"/>
        </w:rPr>
      </w:pPr>
      <w:r>
        <w:rPr>
          <w:rFonts w:hint="eastAsia" w:hAnsi="Tahoma" w:cs="Tahoma"/>
          <w:color w:val="000000"/>
          <w:kern w:val="0"/>
          <w:sz w:val="24"/>
        </w:rPr>
        <w:t>为规范我院研究生国家奖学金的管理，鼓励我院研究生勤奋学习，奋发向上，积极参加学术科研活动，引导研究生全面综合发展，根据国家和学校奖学金评选工作的有关精神，结合我院实际情况，制定本评定计分标准，作为学院评定研究生国家奖学金的考核依据。</w:t>
      </w:r>
    </w:p>
    <w:p>
      <w:pPr>
        <w:widowControl/>
        <w:shd w:val="clear" w:color="auto" w:fill="FFFFFF"/>
        <w:spacing w:line="300" w:lineRule="auto"/>
        <w:ind w:firstLine="560"/>
        <w:jc w:val="left"/>
        <w:rPr>
          <w:rFonts w:hAnsi="Tahoma" w:cs="Tahoma"/>
          <w:kern w:val="0"/>
          <w:sz w:val="24"/>
          <w:highlight w:val="none"/>
        </w:rPr>
      </w:pPr>
      <w:r>
        <w:rPr>
          <w:rFonts w:hint="eastAsia" w:ascii="黑体" w:hAnsi="黑体" w:eastAsia="黑体" w:cs="Tahoma"/>
          <w:b/>
          <w:color w:val="000000"/>
          <w:kern w:val="0"/>
          <w:sz w:val="24"/>
        </w:rPr>
        <w:t>一</w:t>
      </w:r>
      <w:r>
        <w:rPr>
          <w:rFonts w:hint="eastAsia" w:ascii="黑体" w:hAnsi="黑体" w:eastAsia="黑体" w:cs="Tahoma"/>
          <w:b/>
          <w:color w:val="000000"/>
          <w:kern w:val="0"/>
          <w:sz w:val="24"/>
          <w:highlight w:val="none"/>
        </w:rPr>
        <w:t>、评价内容：</w:t>
      </w:r>
      <w:r>
        <w:rPr>
          <w:rFonts w:hint="eastAsia" w:hAnsi="Tahoma" w:cs="Tahoma"/>
          <w:color w:val="000000"/>
          <w:kern w:val="0"/>
          <w:sz w:val="24"/>
          <w:highlight w:val="none"/>
        </w:rPr>
        <w:t>研究生国家奖学金根据申请人的学习成绩、学术科研、综合素质三个方面进行评价，</w:t>
      </w:r>
      <w:r>
        <w:rPr>
          <w:rFonts w:hint="eastAsia" w:hAnsi="Tahoma" w:cs="Tahoma"/>
          <w:kern w:val="0"/>
          <w:sz w:val="24"/>
          <w:highlight w:val="none"/>
        </w:rPr>
        <w:t>学习成绩按满分5</w:t>
      </w:r>
      <w:r>
        <w:rPr>
          <w:rFonts w:hAnsi="Tahoma" w:cs="Tahoma"/>
          <w:kern w:val="0"/>
          <w:sz w:val="24"/>
          <w:highlight w:val="none"/>
        </w:rPr>
        <w:t>0</w:t>
      </w:r>
      <w:r>
        <w:rPr>
          <w:rFonts w:hint="eastAsia" w:hAnsi="Tahoma" w:cs="Tahoma"/>
          <w:kern w:val="0"/>
          <w:sz w:val="24"/>
          <w:highlight w:val="none"/>
        </w:rPr>
        <w:t>分计，学术科研、综合素质依照计分标准累计加分。</w:t>
      </w:r>
    </w:p>
    <w:p>
      <w:pPr>
        <w:widowControl/>
        <w:shd w:val="clear" w:color="auto" w:fill="FFFFFF"/>
        <w:spacing w:line="300" w:lineRule="auto"/>
        <w:ind w:firstLine="560"/>
        <w:jc w:val="left"/>
        <w:rPr>
          <w:sz w:val="24"/>
          <w:highlight w:val="none"/>
        </w:rPr>
      </w:pPr>
      <w:r>
        <w:rPr>
          <w:rFonts w:hint="eastAsia" w:ascii="黑体" w:hAnsi="黑体" w:eastAsia="黑体" w:cs="Tahoma"/>
          <w:b/>
          <w:kern w:val="0"/>
          <w:sz w:val="24"/>
          <w:highlight w:val="none"/>
        </w:rPr>
        <w:t>二、学习成绩计分标准：</w:t>
      </w:r>
      <w:r>
        <w:rPr>
          <w:rFonts w:hint="eastAsia" w:hAnsi="Tahoma" w:cs="Tahoma"/>
          <w:kern w:val="0"/>
          <w:sz w:val="24"/>
          <w:highlight w:val="none"/>
        </w:rPr>
        <w:t>成绩满分50分。</w:t>
      </w:r>
      <w:r>
        <w:rPr>
          <w:rFonts w:hAnsi="Tahoma" w:cs="Tahoma"/>
          <w:kern w:val="0"/>
          <w:sz w:val="24"/>
          <w:highlight w:val="none"/>
        </w:rPr>
        <w:t>按规定时间前已出来的全部课程成绩计算</w:t>
      </w:r>
      <w:r>
        <w:rPr>
          <w:rFonts w:hint="eastAsia" w:hAnsi="Tahoma" w:cs="Tahoma"/>
          <w:kern w:val="0"/>
          <w:sz w:val="24"/>
          <w:highlight w:val="none"/>
        </w:rPr>
        <w:t>加权</w:t>
      </w:r>
      <w:r>
        <w:rPr>
          <w:rFonts w:hAnsi="Tahoma" w:cs="Tahoma"/>
          <w:kern w:val="0"/>
          <w:sz w:val="24"/>
          <w:highlight w:val="none"/>
        </w:rPr>
        <w:t>平均分，计算方法</w:t>
      </w:r>
      <w:r>
        <w:rPr>
          <w:rFonts w:hint="eastAsia" w:hAnsi="Tahoma" w:cs="Tahoma"/>
          <w:kern w:val="0"/>
          <w:sz w:val="24"/>
          <w:highlight w:val="none"/>
        </w:rPr>
        <w:t>为全部课程的加权平均分再乘以50%</w:t>
      </w:r>
      <w:r>
        <w:rPr>
          <w:rFonts w:hAnsi="Tahoma" w:cs="Tahoma"/>
          <w:kern w:val="0"/>
          <w:sz w:val="24"/>
          <w:highlight w:val="none"/>
        </w:rPr>
        <w:t>。</w:t>
      </w:r>
      <w:r>
        <w:rPr>
          <w:rFonts w:hint="eastAsia" w:hAnsi="Tahoma" w:cs="Tahoma"/>
          <w:kern w:val="0"/>
          <w:sz w:val="24"/>
          <w:highlight w:val="none"/>
        </w:rPr>
        <w:t>国家奖学金申请者，原则上要求课程平均分</w:t>
      </w:r>
      <w:r>
        <w:rPr>
          <w:rFonts w:hint="eastAsia"/>
          <w:sz w:val="24"/>
          <w:highlight w:val="none"/>
        </w:rPr>
        <w:t>在75分以上（含75分），且学位课平均成绩高于7</w:t>
      </w:r>
      <w:r>
        <w:rPr>
          <w:sz w:val="24"/>
          <w:highlight w:val="none"/>
        </w:rPr>
        <w:t>5</w:t>
      </w:r>
      <w:r>
        <w:rPr>
          <w:rFonts w:hint="eastAsia"/>
          <w:sz w:val="24"/>
          <w:highlight w:val="none"/>
        </w:rPr>
        <w:t>分（含75分），没有不及格课程；以上分数以系统导出成绩为依据。若申请学生有免修课程，以不包含免修课程的其他课程成绩计算加权平均分（不保留小数位，四舍五入）。</w:t>
      </w:r>
    </w:p>
    <w:p>
      <w:pPr>
        <w:widowControl/>
        <w:shd w:val="clear" w:color="auto" w:fill="FFFFFF"/>
        <w:spacing w:line="300" w:lineRule="auto"/>
        <w:ind w:firstLine="560"/>
        <w:jc w:val="left"/>
        <w:rPr>
          <w:rFonts w:hAnsi="Tahoma" w:cs="Tahoma"/>
          <w:kern w:val="0"/>
          <w:sz w:val="24"/>
          <w:highlight w:val="none"/>
        </w:rPr>
      </w:pPr>
      <w:r>
        <w:rPr>
          <w:rFonts w:hint="eastAsia" w:ascii="黑体" w:hAnsi="黑体" w:eastAsia="黑体" w:cs="Tahoma"/>
          <w:b/>
          <w:kern w:val="0"/>
          <w:sz w:val="24"/>
          <w:highlight w:val="none"/>
        </w:rPr>
        <w:t>三、学术科研计分标准：</w:t>
      </w:r>
      <w:r>
        <w:rPr>
          <w:rFonts w:hint="eastAsia" w:hAnsi="Tahoma" w:cs="Tahoma"/>
          <w:kern w:val="0"/>
          <w:sz w:val="24"/>
          <w:highlight w:val="none"/>
        </w:rPr>
        <w:t>学术科研包括获奖、论著和课题三个部分，计分分值见附表1。若无特殊说明，所有参评学术科研成果应以浙江工商大学为第一完成人，并且申请奖学金的研究生以浙江工商大学名义参加，所有学术科研成果必须提供相关证明材料，其认定参照学校科研处文件以及研究生奖学金管理的相关规章制度执行。</w:t>
      </w:r>
      <w:bookmarkStart w:id="2" w:name="_GoBack"/>
      <w:bookmarkEnd w:id="2"/>
    </w:p>
    <w:p>
      <w:pPr>
        <w:widowControl/>
        <w:shd w:val="clear" w:color="auto" w:fill="FFFFFF"/>
        <w:spacing w:line="300" w:lineRule="auto"/>
        <w:ind w:firstLine="560"/>
        <w:jc w:val="left"/>
        <w:rPr>
          <w:rFonts w:hAnsi="Tahoma" w:cs="Tahoma"/>
          <w:kern w:val="0"/>
          <w:sz w:val="24"/>
          <w:highlight w:val="none"/>
        </w:rPr>
      </w:pPr>
      <w:r>
        <w:rPr>
          <w:rFonts w:hint="eastAsia" w:ascii="黑体" w:hAnsi="黑体" w:eastAsia="黑体" w:cs="Tahoma"/>
          <w:b/>
          <w:kern w:val="0"/>
          <w:sz w:val="24"/>
          <w:highlight w:val="none"/>
        </w:rPr>
        <w:t>四、综合素质计分标准：</w:t>
      </w:r>
      <w:r>
        <w:rPr>
          <w:rFonts w:hint="eastAsia" w:hAnsi="Tahoma" w:cs="Tahoma"/>
          <w:kern w:val="0"/>
          <w:sz w:val="24"/>
          <w:highlight w:val="none"/>
        </w:rPr>
        <w:t>综合素质包括研究生担任社会工作、获得荣誉、通过中高级专业执业资格考试或能力测试及其他项目。本部分计分分值见附表1。所有综合素质项目必须提供相关证明材料。</w:t>
      </w:r>
    </w:p>
    <w:p>
      <w:pPr>
        <w:widowControl/>
        <w:shd w:val="clear" w:color="auto" w:fill="FFFFFF"/>
        <w:spacing w:line="300" w:lineRule="auto"/>
        <w:ind w:firstLine="560"/>
        <w:jc w:val="left"/>
        <w:rPr>
          <w:rFonts w:hAnsi="Tahoma" w:cs="Tahoma"/>
          <w:kern w:val="0"/>
          <w:sz w:val="24"/>
          <w:highlight w:val="none"/>
        </w:rPr>
      </w:pPr>
      <w:r>
        <w:rPr>
          <w:rFonts w:hint="eastAsia" w:ascii="黑体" w:hAnsi="黑体" w:eastAsia="黑体" w:cs="Tahoma"/>
          <w:b/>
          <w:kern w:val="0"/>
          <w:sz w:val="24"/>
          <w:highlight w:val="none"/>
        </w:rPr>
        <w:t>五、评定方法：</w:t>
      </w:r>
      <w:r>
        <w:rPr>
          <w:rFonts w:hint="eastAsia" w:hAnsi="Tahoma" w:cs="Tahoma"/>
          <w:kern w:val="0"/>
          <w:sz w:val="24"/>
          <w:highlight w:val="none"/>
        </w:rPr>
        <w:t>申请国家奖学金的研究生按上述三项内容加计总分后排名，由学院研究生国家奖学金评审委员会根据总分排名，结合申请者发表论文刊物级别、篇数，学习成绩、参加学院集体活动情况和综合表现等情况无记名投票决定。</w:t>
      </w:r>
    </w:p>
    <w:p>
      <w:pPr>
        <w:widowControl/>
        <w:shd w:val="clear" w:color="auto" w:fill="FFFFFF"/>
        <w:spacing w:line="300" w:lineRule="auto"/>
        <w:ind w:firstLine="560"/>
        <w:jc w:val="left"/>
        <w:rPr>
          <w:rFonts w:hAnsi="Tahoma" w:cs="Tahoma"/>
          <w:kern w:val="0"/>
          <w:sz w:val="24"/>
          <w:highlight w:val="none"/>
        </w:rPr>
      </w:pPr>
      <w:r>
        <w:rPr>
          <w:rFonts w:hint="eastAsia" w:ascii="黑体" w:hAnsi="黑体" w:eastAsia="黑体" w:cs="Tahoma"/>
          <w:b/>
          <w:kern w:val="0"/>
          <w:sz w:val="24"/>
          <w:highlight w:val="none"/>
        </w:rPr>
        <w:t>六、</w:t>
      </w:r>
      <w:r>
        <w:rPr>
          <w:rFonts w:hint="eastAsia" w:hAnsi="Tahoma" w:cs="Tahoma"/>
          <w:kern w:val="0"/>
          <w:sz w:val="24"/>
          <w:highlight w:val="none"/>
        </w:rPr>
        <w:t>申请者读研期间若已获得过国家奖学金，则学术科研和综合素质计分以</w:t>
      </w:r>
      <w:r>
        <w:rPr>
          <w:rFonts w:hint="eastAsia" w:hAnsi="Tahoma" w:cs="Tahoma"/>
          <w:kern w:val="0"/>
          <w:sz w:val="24"/>
          <w:highlight w:val="none"/>
          <w:lang w:val="en-US" w:eastAsia="zh-CN"/>
        </w:rPr>
        <w:t xml:space="preserve"> </w:t>
      </w:r>
      <w:r>
        <w:rPr>
          <w:rFonts w:hint="eastAsia" w:hAnsi="Tahoma" w:cs="Tahoma"/>
          <w:kern w:val="0"/>
          <w:sz w:val="24"/>
          <w:highlight w:val="none"/>
        </w:rPr>
        <w:t>前次获奖以后的成果为计分依据。</w:t>
      </w:r>
    </w:p>
    <w:p>
      <w:pPr>
        <w:widowControl/>
        <w:shd w:val="clear" w:color="auto" w:fill="FFFFFF"/>
        <w:spacing w:line="300" w:lineRule="auto"/>
        <w:ind w:firstLine="560"/>
        <w:jc w:val="left"/>
        <w:rPr>
          <w:rFonts w:hAnsi="Tahoma" w:cs="Tahoma"/>
          <w:kern w:val="0"/>
          <w:sz w:val="24"/>
          <w:highlight w:val="none"/>
        </w:rPr>
      </w:pPr>
      <w:r>
        <w:rPr>
          <w:rFonts w:hint="eastAsia" w:ascii="黑体" w:hAnsi="黑体" w:eastAsia="黑体" w:cs="Tahoma"/>
          <w:b/>
          <w:kern w:val="0"/>
          <w:sz w:val="24"/>
          <w:highlight w:val="none"/>
        </w:rPr>
        <w:t>七、</w:t>
      </w:r>
      <w:r>
        <w:rPr>
          <w:rFonts w:cs="Tahoma"/>
          <w:kern w:val="0"/>
          <w:sz w:val="24"/>
          <w:highlight w:val="none"/>
        </w:rPr>
        <w:t> </w:t>
      </w:r>
      <w:r>
        <w:rPr>
          <w:rFonts w:hAnsi="Tahoma" w:cs="Tahoma"/>
          <w:kern w:val="0"/>
          <w:sz w:val="24"/>
          <w:highlight w:val="none"/>
        </w:rPr>
        <w:t>其他未尽事宜由</w:t>
      </w:r>
      <w:bookmarkStart w:id="1" w:name="OLE_LINK5"/>
      <w:r>
        <w:rPr>
          <w:rFonts w:hAnsi="Tahoma" w:cs="Tahoma"/>
          <w:kern w:val="0"/>
          <w:sz w:val="24"/>
          <w:highlight w:val="none"/>
        </w:rPr>
        <w:t>学院研究生国家奖学金评审委员会研究决定</w:t>
      </w:r>
      <w:bookmarkEnd w:id="1"/>
      <w:r>
        <w:rPr>
          <w:rFonts w:hAnsi="Tahoma" w:cs="Tahoma"/>
          <w:kern w:val="0"/>
          <w:sz w:val="24"/>
          <w:highlight w:val="none"/>
        </w:rPr>
        <w:t>。</w:t>
      </w:r>
    </w:p>
    <w:p>
      <w:pPr>
        <w:widowControl/>
        <w:shd w:val="clear" w:color="auto" w:fill="FFFFFF"/>
        <w:spacing w:line="300" w:lineRule="auto"/>
        <w:ind w:firstLine="560"/>
        <w:jc w:val="left"/>
        <w:rPr>
          <w:rFonts w:hAnsi="Tahoma" w:cs="Tahoma"/>
          <w:kern w:val="0"/>
          <w:sz w:val="24"/>
        </w:rPr>
      </w:pPr>
      <w:r>
        <w:rPr>
          <w:rFonts w:hint="eastAsia" w:ascii="黑体" w:hAnsi="黑体" w:eastAsia="黑体" w:cs="Tahoma"/>
          <w:b/>
          <w:kern w:val="0"/>
          <w:sz w:val="24"/>
        </w:rPr>
        <w:t>八、</w:t>
      </w:r>
      <w:r>
        <w:rPr>
          <w:rFonts w:hAnsi="Tahoma" w:cs="Tahoma"/>
          <w:kern w:val="0"/>
          <w:sz w:val="24"/>
        </w:rPr>
        <w:t>本细则解释权和修改权属于学院研究生国家奖学金评审委员会。</w:t>
      </w:r>
    </w:p>
    <w:p>
      <w:pPr>
        <w:widowControl/>
        <w:shd w:val="clear" w:color="auto" w:fill="FFFFFF"/>
        <w:spacing w:line="300" w:lineRule="auto"/>
        <w:ind w:firstLine="560"/>
        <w:jc w:val="left"/>
        <w:rPr>
          <w:rFonts w:cs="Tahoma"/>
          <w:kern w:val="0"/>
          <w:sz w:val="24"/>
        </w:rPr>
      </w:pPr>
      <w:r>
        <w:rPr>
          <w:rFonts w:hint="eastAsia" w:hAnsi="Tahoma" w:cs="Tahoma"/>
          <w:kern w:val="0"/>
          <w:sz w:val="24"/>
        </w:rPr>
        <w:t>九、本规定于颁布之日起实行，2018年10月的《财务与会计学院研究生国家奖学金评定计分标准》即日起废止。</w:t>
      </w:r>
    </w:p>
    <w:p>
      <w:pPr>
        <w:widowControl/>
        <w:shd w:val="clear" w:color="auto" w:fill="FFFFFF"/>
        <w:spacing w:line="300" w:lineRule="auto"/>
        <w:ind w:firstLine="560"/>
        <w:jc w:val="left"/>
        <w:rPr>
          <w:rFonts w:hAnsi="Tahoma" w:cs="Tahoma"/>
          <w:b/>
          <w:kern w:val="0"/>
          <w:sz w:val="24"/>
        </w:rPr>
      </w:pPr>
    </w:p>
    <w:p>
      <w:pPr>
        <w:widowControl/>
        <w:shd w:val="clear" w:color="auto" w:fill="FFFFFF"/>
        <w:spacing w:line="300" w:lineRule="auto"/>
        <w:ind w:firstLine="560"/>
        <w:jc w:val="right"/>
        <w:rPr>
          <w:rFonts w:hAnsi="Tahoma" w:cs="Tahoma"/>
          <w:kern w:val="0"/>
          <w:sz w:val="24"/>
        </w:rPr>
      </w:pPr>
      <w:r>
        <w:rPr>
          <w:rFonts w:hint="eastAsia" w:hAnsi="Tahoma" w:cs="Tahoma"/>
          <w:kern w:val="0"/>
          <w:sz w:val="24"/>
        </w:rPr>
        <w:t>会计学院研究生国家奖学金评审委员会</w:t>
      </w:r>
    </w:p>
    <w:p>
      <w:pPr>
        <w:widowControl/>
        <w:shd w:val="clear" w:color="auto" w:fill="FFFFFF"/>
        <w:spacing w:line="300" w:lineRule="auto"/>
        <w:ind w:firstLine="560"/>
        <w:jc w:val="right"/>
        <w:rPr>
          <w:rFonts w:hAnsi="Tahoma" w:cs="Tahoma"/>
          <w:kern w:val="0"/>
          <w:sz w:val="24"/>
        </w:rPr>
      </w:pPr>
      <w:r>
        <w:rPr>
          <w:rFonts w:hint="eastAsia" w:hAnsi="Tahoma" w:cs="Tahoma"/>
          <w:kern w:val="0"/>
          <w:sz w:val="24"/>
        </w:rPr>
        <w:t>2021年9月10日</w:t>
      </w:r>
    </w:p>
    <w:p>
      <w:pPr>
        <w:spacing w:line="400" w:lineRule="exact"/>
        <w:rPr>
          <w:rFonts w:hAnsi="Tahoma" w:cs="Tahoma"/>
          <w:kern w:val="0"/>
          <w:sz w:val="24"/>
        </w:rPr>
      </w:pPr>
      <w:r>
        <w:rPr>
          <w:rFonts w:hAnsi="Tahoma" w:cs="Tahoma"/>
          <w:kern w:val="0"/>
          <w:sz w:val="24"/>
        </w:rPr>
        <w:br w:type="page"/>
      </w:r>
      <w:r>
        <w:rPr>
          <w:rFonts w:hint="eastAsia" w:hAnsi="Tahoma" w:cs="Tahoma"/>
          <w:kern w:val="0"/>
          <w:sz w:val="24"/>
        </w:rPr>
        <w:t>附表1：</w:t>
      </w:r>
    </w:p>
    <w:p>
      <w:pPr>
        <w:spacing w:line="400" w:lineRule="exact"/>
        <w:jc w:val="center"/>
        <w:rPr>
          <w:rFonts w:ascii="黑体" w:hAnsi="黑体" w:eastAsia="黑体"/>
          <w:b/>
          <w:sz w:val="28"/>
          <w:szCs w:val="28"/>
        </w:rPr>
      </w:pPr>
      <w:r>
        <w:rPr>
          <w:rFonts w:hint="eastAsia" w:ascii="黑体" w:hAnsi="黑体" w:eastAsia="黑体"/>
          <w:b/>
          <w:sz w:val="28"/>
          <w:szCs w:val="28"/>
        </w:rPr>
        <w:t>会计学院研究生国家奖学金学术科研和综合素质分值标准</w:t>
      </w:r>
    </w:p>
    <w:p>
      <w:pPr>
        <w:spacing w:line="300" w:lineRule="exact"/>
        <w:jc w:val="center"/>
        <w:rPr>
          <w:rFonts w:ascii="宋体" w:hAnsi="宋体"/>
          <w:b/>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625"/>
        <w:gridCol w:w="18"/>
        <w:gridCol w:w="587"/>
        <w:gridCol w:w="620"/>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966" w:type="dxa"/>
            <w:gridSpan w:val="6"/>
            <w:tcBorders>
              <w:top w:val="single" w:color="auto" w:sz="12" w:space="0"/>
              <w:bottom w:val="single" w:color="auto" w:sz="12" w:space="0"/>
            </w:tcBorders>
            <w:vAlign w:val="center"/>
          </w:tcPr>
          <w:p>
            <w:pPr>
              <w:spacing w:line="400" w:lineRule="exact"/>
              <w:jc w:val="center"/>
              <w:rPr>
                <w:rFonts w:ascii="黑体" w:hAnsi="黑体" w:eastAsia="黑体"/>
                <w:b/>
                <w:szCs w:val="21"/>
              </w:rPr>
            </w:pPr>
            <w:r>
              <w:rPr>
                <w:rFonts w:ascii="黑体" w:hAnsi="黑体" w:eastAsia="黑体"/>
                <w:b/>
                <w:szCs w:val="21"/>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vMerge w:val="restart"/>
            <w:tcBorders>
              <w:top w:val="single" w:color="auto" w:sz="12" w:space="0"/>
            </w:tcBorders>
            <w:vAlign w:val="center"/>
          </w:tcPr>
          <w:p>
            <w:pPr>
              <w:spacing w:line="340" w:lineRule="exact"/>
              <w:jc w:val="center"/>
              <w:rPr>
                <w:b/>
                <w:sz w:val="18"/>
                <w:szCs w:val="18"/>
              </w:rPr>
            </w:pPr>
            <w:r>
              <w:rPr>
                <w:rFonts w:hAnsi="宋体"/>
                <w:b/>
                <w:sz w:val="18"/>
                <w:szCs w:val="18"/>
              </w:rPr>
              <w:t>奖项</w:t>
            </w:r>
          </w:p>
        </w:tc>
        <w:tc>
          <w:tcPr>
            <w:tcW w:w="1898" w:type="dxa"/>
            <w:gridSpan w:val="4"/>
            <w:tcBorders>
              <w:top w:val="single" w:color="auto" w:sz="12" w:space="0"/>
            </w:tcBorders>
            <w:vAlign w:val="center"/>
          </w:tcPr>
          <w:p>
            <w:pPr>
              <w:spacing w:line="340" w:lineRule="exact"/>
              <w:jc w:val="center"/>
              <w:rPr>
                <w:b/>
                <w:sz w:val="18"/>
                <w:szCs w:val="18"/>
              </w:rPr>
            </w:pPr>
            <w:r>
              <w:rPr>
                <w:rFonts w:hAnsi="宋体"/>
                <w:b/>
                <w:sz w:val="18"/>
                <w:szCs w:val="18"/>
              </w:rPr>
              <w:t>等级和分值</w:t>
            </w:r>
          </w:p>
        </w:tc>
        <w:tc>
          <w:tcPr>
            <w:tcW w:w="4316" w:type="dxa"/>
            <w:vMerge w:val="restart"/>
            <w:tcBorders>
              <w:top w:val="single" w:color="auto" w:sz="12" w:space="0"/>
            </w:tcBorders>
            <w:vAlign w:val="center"/>
          </w:tcPr>
          <w:p>
            <w:pPr>
              <w:spacing w:line="340" w:lineRule="exact"/>
              <w:jc w:val="center"/>
              <w:rPr>
                <w:b/>
                <w:sz w:val="18"/>
                <w:szCs w:val="18"/>
              </w:rPr>
            </w:pPr>
            <w:r>
              <w:rPr>
                <w:rFonts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vMerge w:val="continue"/>
          </w:tcPr>
          <w:p>
            <w:pPr>
              <w:spacing w:line="340" w:lineRule="exact"/>
              <w:jc w:val="center"/>
              <w:rPr>
                <w:sz w:val="18"/>
                <w:szCs w:val="18"/>
              </w:rPr>
            </w:pPr>
          </w:p>
        </w:tc>
        <w:tc>
          <w:tcPr>
            <w:tcW w:w="638" w:type="dxa"/>
            <w:vAlign w:val="center"/>
          </w:tcPr>
          <w:p>
            <w:pPr>
              <w:spacing w:line="340" w:lineRule="exact"/>
              <w:jc w:val="center"/>
              <w:rPr>
                <w:b/>
                <w:sz w:val="18"/>
                <w:szCs w:val="18"/>
              </w:rPr>
            </w:pPr>
            <w:r>
              <w:rPr>
                <w:rFonts w:hAnsi="宋体"/>
                <w:b/>
                <w:sz w:val="18"/>
                <w:szCs w:val="18"/>
              </w:rPr>
              <w:t>一等</w:t>
            </w:r>
          </w:p>
        </w:tc>
        <w:tc>
          <w:tcPr>
            <w:tcW w:w="622" w:type="dxa"/>
            <w:gridSpan w:val="2"/>
            <w:vAlign w:val="center"/>
          </w:tcPr>
          <w:p>
            <w:pPr>
              <w:spacing w:line="340" w:lineRule="exact"/>
              <w:jc w:val="center"/>
              <w:rPr>
                <w:b/>
                <w:sz w:val="18"/>
                <w:szCs w:val="18"/>
              </w:rPr>
            </w:pPr>
            <w:r>
              <w:rPr>
                <w:rFonts w:hAnsi="宋体"/>
                <w:b/>
                <w:sz w:val="18"/>
                <w:szCs w:val="18"/>
              </w:rPr>
              <w:t>二等</w:t>
            </w:r>
          </w:p>
        </w:tc>
        <w:tc>
          <w:tcPr>
            <w:tcW w:w="638" w:type="dxa"/>
          </w:tcPr>
          <w:p>
            <w:pPr>
              <w:spacing w:line="340" w:lineRule="exact"/>
              <w:jc w:val="center"/>
              <w:rPr>
                <w:b/>
                <w:sz w:val="18"/>
                <w:szCs w:val="18"/>
              </w:rPr>
            </w:pPr>
            <w:r>
              <w:rPr>
                <w:rFonts w:hAnsi="宋体"/>
                <w:b/>
                <w:sz w:val="18"/>
                <w:szCs w:val="18"/>
              </w:rPr>
              <w:t>三等</w:t>
            </w:r>
          </w:p>
        </w:tc>
        <w:tc>
          <w:tcPr>
            <w:tcW w:w="4316" w:type="dxa"/>
            <w:vMerge w:val="continue"/>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vAlign w:val="center"/>
          </w:tcPr>
          <w:p>
            <w:pPr>
              <w:spacing w:line="400" w:lineRule="exact"/>
              <w:rPr>
                <w:sz w:val="18"/>
                <w:szCs w:val="18"/>
              </w:rPr>
            </w:pPr>
            <w:r>
              <w:rPr>
                <w:rFonts w:hAnsi="宋体"/>
                <w:sz w:val="18"/>
                <w:szCs w:val="18"/>
              </w:rPr>
              <w:t>国家</w:t>
            </w:r>
            <w:r>
              <w:rPr>
                <w:rFonts w:hint="eastAsia" w:hAnsi="宋体"/>
                <w:sz w:val="18"/>
                <w:szCs w:val="18"/>
              </w:rPr>
              <w:t>级科研成果奖</w:t>
            </w:r>
          </w:p>
        </w:tc>
        <w:tc>
          <w:tcPr>
            <w:tcW w:w="638" w:type="dxa"/>
            <w:vAlign w:val="center"/>
          </w:tcPr>
          <w:p>
            <w:pPr>
              <w:spacing w:line="400" w:lineRule="exact"/>
              <w:jc w:val="center"/>
              <w:rPr>
                <w:sz w:val="18"/>
                <w:szCs w:val="18"/>
              </w:rPr>
            </w:pPr>
            <w:r>
              <w:rPr>
                <w:rFonts w:hint="eastAsia"/>
                <w:sz w:val="18"/>
                <w:szCs w:val="18"/>
              </w:rPr>
              <w:t>20</w:t>
            </w:r>
          </w:p>
        </w:tc>
        <w:tc>
          <w:tcPr>
            <w:tcW w:w="622" w:type="dxa"/>
            <w:gridSpan w:val="2"/>
            <w:vAlign w:val="center"/>
          </w:tcPr>
          <w:p>
            <w:pPr>
              <w:spacing w:line="400" w:lineRule="exact"/>
              <w:jc w:val="center"/>
              <w:rPr>
                <w:sz w:val="18"/>
                <w:szCs w:val="18"/>
              </w:rPr>
            </w:pPr>
            <w:r>
              <w:rPr>
                <w:rFonts w:hint="eastAsia"/>
                <w:sz w:val="18"/>
                <w:szCs w:val="18"/>
              </w:rPr>
              <w:t>15</w:t>
            </w:r>
          </w:p>
        </w:tc>
        <w:tc>
          <w:tcPr>
            <w:tcW w:w="638" w:type="dxa"/>
            <w:vAlign w:val="center"/>
          </w:tcPr>
          <w:p>
            <w:pPr>
              <w:spacing w:line="400" w:lineRule="exact"/>
              <w:jc w:val="center"/>
              <w:rPr>
                <w:sz w:val="18"/>
                <w:szCs w:val="18"/>
              </w:rPr>
            </w:pPr>
            <w:r>
              <w:rPr>
                <w:rFonts w:hint="eastAsia"/>
                <w:sz w:val="18"/>
                <w:szCs w:val="18"/>
              </w:rPr>
              <w:t>10</w:t>
            </w:r>
          </w:p>
        </w:tc>
        <w:tc>
          <w:tcPr>
            <w:tcW w:w="4316" w:type="dxa"/>
            <w:vMerge w:val="restart"/>
            <w:shd w:val="clear" w:color="auto" w:fill="auto"/>
            <w:vAlign w:val="center"/>
          </w:tcPr>
          <w:p>
            <w:pPr>
              <w:numPr>
                <w:ilvl w:val="0"/>
                <w:numId w:val="1"/>
              </w:numPr>
              <w:tabs>
                <w:tab w:val="left" w:pos="174"/>
                <w:tab w:val="clear" w:pos="420"/>
              </w:tabs>
              <w:spacing w:line="340" w:lineRule="exact"/>
              <w:ind w:left="176" w:hanging="176"/>
              <w:jc w:val="left"/>
              <w:rPr>
                <w:sz w:val="18"/>
                <w:szCs w:val="18"/>
              </w:rPr>
            </w:pPr>
            <w:r>
              <w:rPr>
                <w:rFonts w:hint="eastAsia"/>
                <w:sz w:val="18"/>
                <w:szCs w:val="18"/>
              </w:rPr>
              <w:t>重复奖项按最高分计分，不重复累计。</w:t>
            </w:r>
          </w:p>
          <w:p>
            <w:pPr>
              <w:numPr>
                <w:ilvl w:val="0"/>
                <w:numId w:val="1"/>
              </w:numPr>
              <w:tabs>
                <w:tab w:val="left" w:pos="174"/>
                <w:tab w:val="clear" w:pos="420"/>
              </w:tabs>
              <w:spacing w:line="340" w:lineRule="exact"/>
              <w:ind w:left="176" w:hanging="176"/>
              <w:jc w:val="left"/>
              <w:rPr>
                <w:sz w:val="18"/>
                <w:szCs w:val="18"/>
              </w:rPr>
            </w:pPr>
            <w:r>
              <w:rPr>
                <w:rFonts w:hint="eastAsia"/>
                <w:sz w:val="18"/>
                <w:szCs w:val="18"/>
              </w:rPr>
              <w:t>合作获得奖项，第一申报人按奖项标准分值的60%计分；其余40%由奖项参与者均分，且国家级奖项参与者得分不低于2分，省部级奖项参与者得分不低于1分。</w:t>
            </w:r>
          </w:p>
          <w:p>
            <w:pPr>
              <w:numPr>
                <w:ilvl w:val="0"/>
                <w:numId w:val="1"/>
              </w:numPr>
              <w:tabs>
                <w:tab w:val="left" w:pos="174"/>
                <w:tab w:val="clear" w:pos="420"/>
              </w:tabs>
              <w:spacing w:line="340" w:lineRule="exact"/>
              <w:ind w:left="176" w:hanging="176"/>
              <w:jc w:val="left"/>
              <w:rPr>
                <w:sz w:val="18"/>
                <w:szCs w:val="18"/>
              </w:rPr>
            </w:pPr>
            <w:r>
              <w:rPr>
                <w:rFonts w:hint="eastAsia"/>
                <w:sz w:val="18"/>
                <w:szCs w:val="18"/>
              </w:rPr>
              <w:t>MPACC全国案例大赛作为国家级奖项；MPACC全国案例大赛大区优胜奖作为厅局级奖项；长三角论文竞赛作为省部级奖项。</w:t>
            </w:r>
          </w:p>
          <w:p>
            <w:pPr>
              <w:numPr>
                <w:ilvl w:val="0"/>
                <w:numId w:val="1"/>
              </w:numPr>
              <w:tabs>
                <w:tab w:val="left" w:pos="174"/>
                <w:tab w:val="clear" w:pos="420"/>
              </w:tabs>
              <w:spacing w:line="340" w:lineRule="exact"/>
              <w:ind w:left="176" w:hanging="176"/>
              <w:jc w:val="left"/>
              <w:rPr>
                <w:sz w:val="18"/>
                <w:szCs w:val="18"/>
              </w:rPr>
            </w:pPr>
            <w:r>
              <w:rPr>
                <w:rFonts w:hint="eastAsia"/>
                <w:sz w:val="18"/>
                <w:szCs w:val="18"/>
              </w:rPr>
              <w:t>奖项级别的认定若存在不确定性，由</w:t>
            </w:r>
            <w:r>
              <w:rPr>
                <w:sz w:val="18"/>
                <w:szCs w:val="18"/>
              </w:rPr>
              <w:t>学院研究生国家奖学金评审委员会</w:t>
            </w:r>
            <w:r>
              <w:rPr>
                <w:rFonts w:hint="eastAsia"/>
                <w:sz w:val="18"/>
                <w:szCs w:val="18"/>
              </w:rPr>
              <w:t>讨论</w:t>
            </w:r>
            <w:r>
              <w:rPr>
                <w:sz w:val="18"/>
                <w:szCs w:val="18"/>
              </w:rPr>
              <w:t>决定</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752" w:type="dxa"/>
            <w:vAlign w:val="center"/>
          </w:tcPr>
          <w:p>
            <w:pPr>
              <w:rPr>
                <w:rFonts w:hAnsi="宋体"/>
                <w:sz w:val="18"/>
                <w:szCs w:val="18"/>
              </w:rPr>
            </w:pPr>
            <w:r>
              <w:rPr>
                <w:rFonts w:hint="eastAsia" w:hAnsi="宋体"/>
                <w:sz w:val="18"/>
                <w:szCs w:val="18"/>
              </w:rPr>
              <w:t>省部级科研成果奖</w:t>
            </w:r>
          </w:p>
          <w:p>
            <w:pPr>
              <w:rPr>
                <w:sz w:val="18"/>
                <w:szCs w:val="18"/>
              </w:rPr>
            </w:pPr>
            <w:r>
              <w:rPr>
                <w:rFonts w:hAnsi="宋体"/>
                <w:sz w:val="18"/>
                <w:szCs w:val="18"/>
              </w:rPr>
              <w:t>国家</w:t>
            </w:r>
            <w:r>
              <w:rPr>
                <w:rFonts w:hint="eastAsia" w:hAnsi="宋体"/>
                <w:sz w:val="18"/>
                <w:szCs w:val="18"/>
              </w:rPr>
              <w:t>级学会奖</w:t>
            </w:r>
          </w:p>
        </w:tc>
        <w:tc>
          <w:tcPr>
            <w:tcW w:w="638" w:type="dxa"/>
            <w:vAlign w:val="center"/>
          </w:tcPr>
          <w:p>
            <w:pPr>
              <w:spacing w:line="400" w:lineRule="exact"/>
              <w:jc w:val="center"/>
              <w:rPr>
                <w:sz w:val="18"/>
                <w:szCs w:val="18"/>
              </w:rPr>
            </w:pPr>
            <w:r>
              <w:rPr>
                <w:rFonts w:hint="eastAsia"/>
                <w:sz w:val="18"/>
                <w:szCs w:val="18"/>
              </w:rPr>
              <w:t>10</w:t>
            </w:r>
          </w:p>
        </w:tc>
        <w:tc>
          <w:tcPr>
            <w:tcW w:w="622" w:type="dxa"/>
            <w:gridSpan w:val="2"/>
            <w:vAlign w:val="center"/>
          </w:tcPr>
          <w:p>
            <w:pPr>
              <w:spacing w:line="400" w:lineRule="exact"/>
              <w:jc w:val="center"/>
              <w:rPr>
                <w:sz w:val="18"/>
                <w:szCs w:val="18"/>
              </w:rPr>
            </w:pPr>
            <w:r>
              <w:rPr>
                <w:rFonts w:hint="eastAsia"/>
                <w:sz w:val="18"/>
                <w:szCs w:val="18"/>
              </w:rPr>
              <w:t>8</w:t>
            </w:r>
          </w:p>
        </w:tc>
        <w:tc>
          <w:tcPr>
            <w:tcW w:w="638" w:type="dxa"/>
            <w:vAlign w:val="center"/>
          </w:tcPr>
          <w:p>
            <w:pPr>
              <w:spacing w:line="400" w:lineRule="exact"/>
              <w:jc w:val="center"/>
              <w:rPr>
                <w:sz w:val="18"/>
                <w:szCs w:val="18"/>
              </w:rPr>
            </w:pPr>
            <w:r>
              <w:rPr>
                <w:rFonts w:hint="eastAsia"/>
                <w:sz w:val="18"/>
                <w:szCs w:val="18"/>
              </w:rPr>
              <w:t>6</w:t>
            </w:r>
          </w:p>
        </w:tc>
        <w:tc>
          <w:tcPr>
            <w:tcW w:w="4316" w:type="dxa"/>
            <w:vMerge w:val="continue"/>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752" w:type="dxa"/>
            <w:vAlign w:val="center"/>
          </w:tcPr>
          <w:p>
            <w:pPr>
              <w:rPr>
                <w:rFonts w:hAnsi="宋体"/>
                <w:sz w:val="18"/>
                <w:szCs w:val="18"/>
              </w:rPr>
            </w:pPr>
            <w:r>
              <w:rPr>
                <w:rFonts w:hint="eastAsia" w:hAnsi="宋体"/>
                <w:sz w:val="18"/>
                <w:szCs w:val="18"/>
              </w:rPr>
              <w:t>厅局级科研成果奖</w:t>
            </w:r>
          </w:p>
          <w:p>
            <w:pPr>
              <w:rPr>
                <w:rFonts w:hAnsi="宋体"/>
                <w:sz w:val="18"/>
                <w:szCs w:val="18"/>
              </w:rPr>
            </w:pPr>
            <w:r>
              <w:rPr>
                <w:rFonts w:hint="eastAsia" w:hAnsi="宋体"/>
                <w:sz w:val="18"/>
                <w:szCs w:val="18"/>
              </w:rPr>
              <w:t>省部级学会奖</w:t>
            </w:r>
          </w:p>
        </w:tc>
        <w:tc>
          <w:tcPr>
            <w:tcW w:w="638" w:type="dxa"/>
            <w:vAlign w:val="center"/>
          </w:tcPr>
          <w:p>
            <w:pPr>
              <w:spacing w:line="400" w:lineRule="exact"/>
              <w:jc w:val="center"/>
              <w:rPr>
                <w:sz w:val="18"/>
                <w:szCs w:val="18"/>
              </w:rPr>
            </w:pPr>
            <w:r>
              <w:rPr>
                <w:rFonts w:hint="eastAsia"/>
                <w:sz w:val="18"/>
                <w:szCs w:val="18"/>
              </w:rPr>
              <w:t>4</w:t>
            </w:r>
          </w:p>
        </w:tc>
        <w:tc>
          <w:tcPr>
            <w:tcW w:w="622" w:type="dxa"/>
            <w:gridSpan w:val="2"/>
            <w:vAlign w:val="center"/>
          </w:tcPr>
          <w:p>
            <w:pPr>
              <w:spacing w:line="400" w:lineRule="exact"/>
              <w:jc w:val="center"/>
              <w:rPr>
                <w:sz w:val="18"/>
                <w:szCs w:val="18"/>
              </w:rPr>
            </w:pPr>
            <w:r>
              <w:rPr>
                <w:rFonts w:hint="eastAsia"/>
                <w:sz w:val="18"/>
                <w:szCs w:val="18"/>
              </w:rPr>
              <w:t>3</w:t>
            </w:r>
          </w:p>
        </w:tc>
        <w:tc>
          <w:tcPr>
            <w:tcW w:w="638" w:type="dxa"/>
            <w:vAlign w:val="center"/>
          </w:tcPr>
          <w:p>
            <w:pPr>
              <w:spacing w:line="400" w:lineRule="exact"/>
              <w:jc w:val="center"/>
              <w:rPr>
                <w:sz w:val="18"/>
                <w:szCs w:val="18"/>
              </w:rPr>
            </w:pPr>
            <w:r>
              <w:rPr>
                <w:rFonts w:hint="eastAsia"/>
                <w:sz w:val="18"/>
                <w:szCs w:val="18"/>
              </w:rPr>
              <w:t>2</w:t>
            </w:r>
          </w:p>
        </w:tc>
        <w:tc>
          <w:tcPr>
            <w:tcW w:w="4316" w:type="dxa"/>
            <w:vMerge w:val="continue"/>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tcBorders>
              <w:bottom w:val="single" w:color="auto" w:sz="12" w:space="0"/>
            </w:tcBorders>
            <w:vAlign w:val="center"/>
          </w:tcPr>
          <w:p>
            <w:pPr>
              <w:rPr>
                <w:rFonts w:hAnsi="宋体"/>
                <w:sz w:val="18"/>
                <w:szCs w:val="18"/>
              </w:rPr>
            </w:pPr>
            <w:r>
              <w:rPr>
                <w:rFonts w:hint="eastAsia" w:hAnsi="宋体"/>
                <w:sz w:val="18"/>
                <w:szCs w:val="18"/>
              </w:rPr>
              <w:t>校级科研成果奖</w:t>
            </w:r>
          </w:p>
          <w:p>
            <w:pPr>
              <w:rPr>
                <w:sz w:val="18"/>
                <w:szCs w:val="18"/>
              </w:rPr>
            </w:pPr>
            <w:r>
              <w:rPr>
                <w:rFonts w:hint="eastAsia" w:hAnsi="宋体"/>
                <w:sz w:val="18"/>
                <w:szCs w:val="18"/>
              </w:rPr>
              <w:t>市级学会奖</w:t>
            </w:r>
          </w:p>
        </w:tc>
        <w:tc>
          <w:tcPr>
            <w:tcW w:w="638" w:type="dxa"/>
            <w:tcBorders>
              <w:bottom w:val="single" w:color="auto" w:sz="12" w:space="0"/>
            </w:tcBorders>
            <w:vAlign w:val="center"/>
          </w:tcPr>
          <w:p>
            <w:pPr>
              <w:spacing w:line="400" w:lineRule="exact"/>
              <w:jc w:val="center"/>
              <w:rPr>
                <w:sz w:val="18"/>
                <w:szCs w:val="18"/>
              </w:rPr>
            </w:pPr>
            <w:r>
              <w:rPr>
                <w:rFonts w:hint="eastAsia"/>
                <w:sz w:val="18"/>
                <w:szCs w:val="18"/>
              </w:rPr>
              <w:t>2</w:t>
            </w:r>
          </w:p>
        </w:tc>
        <w:tc>
          <w:tcPr>
            <w:tcW w:w="622" w:type="dxa"/>
            <w:gridSpan w:val="2"/>
            <w:tcBorders>
              <w:bottom w:val="single" w:color="auto" w:sz="12" w:space="0"/>
            </w:tcBorders>
            <w:vAlign w:val="center"/>
          </w:tcPr>
          <w:p>
            <w:pPr>
              <w:spacing w:line="400" w:lineRule="exact"/>
              <w:jc w:val="center"/>
              <w:rPr>
                <w:sz w:val="18"/>
                <w:szCs w:val="18"/>
              </w:rPr>
            </w:pPr>
            <w:r>
              <w:rPr>
                <w:rFonts w:hint="eastAsia"/>
                <w:sz w:val="18"/>
                <w:szCs w:val="18"/>
              </w:rPr>
              <w:t>1</w:t>
            </w:r>
          </w:p>
        </w:tc>
        <w:tc>
          <w:tcPr>
            <w:tcW w:w="638" w:type="dxa"/>
            <w:tcBorders>
              <w:bottom w:val="single" w:color="auto" w:sz="12" w:space="0"/>
            </w:tcBorders>
            <w:vAlign w:val="center"/>
          </w:tcPr>
          <w:p>
            <w:pPr>
              <w:spacing w:line="400" w:lineRule="exact"/>
              <w:jc w:val="center"/>
              <w:rPr>
                <w:sz w:val="18"/>
                <w:szCs w:val="18"/>
              </w:rPr>
            </w:pPr>
            <w:r>
              <w:rPr>
                <w:rFonts w:hint="eastAsia"/>
                <w:sz w:val="18"/>
                <w:szCs w:val="18"/>
              </w:rPr>
              <w:t>-</w:t>
            </w:r>
          </w:p>
        </w:tc>
        <w:tc>
          <w:tcPr>
            <w:tcW w:w="4316" w:type="dxa"/>
            <w:vMerge w:val="continue"/>
            <w:tcBorders>
              <w:bottom w:val="single" w:color="auto" w:sz="12" w:space="0"/>
            </w:tcBorders>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966" w:type="dxa"/>
            <w:gridSpan w:val="6"/>
            <w:tcBorders>
              <w:bottom w:val="single" w:color="auto" w:sz="12" w:space="0"/>
            </w:tcBorders>
            <w:vAlign w:val="center"/>
          </w:tcPr>
          <w:p>
            <w:pPr>
              <w:spacing w:line="400" w:lineRule="exact"/>
              <w:jc w:val="center"/>
              <w:rPr>
                <w:rFonts w:hAnsi="宋体"/>
                <w:b/>
                <w:szCs w:val="21"/>
              </w:rPr>
            </w:pPr>
            <w:r>
              <w:rPr>
                <w:rFonts w:hint="eastAsia" w:ascii="黑体" w:hAnsi="黑体" w:eastAsia="黑体"/>
                <w:b/>
                <w:szCs w:val="21"/>
              </w:rPr>
              <w:t>论著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tcBorders>
              <w:top w:val="single" w:color="auto" w:sz="12" w:space="0"/>
            </w:tcBorders>
          </w:tcPr>
          <w:p>
            <w:pPr>
              <w:spacing w:line="400" w:lineRule="exact"/>
              <w:jc w:val="center"/>
              <w:rPr>
                <w:rFonts w:hAnsi="宋体"/>
                <w:b/>
                <w:sz w:val="18"/>
                <w:szCs w:val="18"/>
              </w:rPr>
            </w:pPr>
            <w:r>
              <w:rPr>
                <w:rFonts w:hint="eastAsia" w:hAnsi="宋体"/>
                <w:b/>
                <w:sz w:val="18"/>
                <w:szCs w:val="18"/>
              </w:rPr>
              <w:t>期刊级别或著作</w:t>
            </w:r>
          </w:p>
        </w:tc>
        <w:tc>
          <w:tcPr>
            <w:tcW w:w="656" w:type="dxa"/>
            <w:gridSpan w:val="2"/>
            <w:tcBorders>
              <w:top w:val="single" w:color="auto" w:sz="12" w:space="0"/>
            </w:tcBorders>
            <w:vAlign w:val="center"/>
          </w:tcPr>
          <w:p>
            <w:pPr>
              <w:spacing w:line="400" w:lineRule="exact"/>
              <w:jc w:val="left"/>
              <w:rPr>
                <w:rFonts w:hAnsi="宋体"/>
                <w:b/>
                <w:sz w:val="18"/>
                <w:szCs w:val="18"/>
              </w:rPr>
            </w:pPr>
            <w:r>
              <w:rPr>
                <w:rFonts w:hAnsi="宋体"/>
                <w:b/>
                <w:sz w:val="18"/>
                <w:szCs w:val="18"/>
              </w:rPr>
              <w:t>分值</w:t>
            </w:r>
          </w:p>
        </w:tc>
        <w:tc>
          <w:tcPr>
            <w:tcW w:w="5558" w:type="dxa"/>
            <w:gridSpan w:val="3"/>
            <w:tcBorders>
              <w:top w:val="single" w:color="auto" w:sz="12" w:space="0"/>
            </w:tcBorders>
            <w:vAlign w:val="center"/>
          </w:tcPr>
          <w:p>
            <w:pPr>
              <w:tabs>
                <w:tab w:val="left" w:pos="174"/>
              </w:tabs>
              <w:spacing w:line="340" w:lineRule="exact"/>
              <w:jc w:val="center"/>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tcPr>
          <w:p>
            <w:pPr>
              <w:spacing w:line="400" w:lineRule="exact"/>
              <w:rPr>
                <w:rFonts w:hAnsi="宋体"/>
                <w:sz w:val="18"/>
                <w:szCs w:val="18"/>
              </w:rPr>
            </w:pPr>
            <w:r>
              <w:rPr>
                <w:rFonts w:hint="eastAsia" w:hAnsi="宋体"/>
                <w:sz w:val="18"/>
                <w:szCs w:val="18"/>
              </w:rPr>
              <w:t>一级期刊论文</w:t>
            </w:r>
          </w:p>
        </w:tc>
        <w:tc>
          <w:tcPr>
            <w:tcW w:w="656" w:type="dxa"/>
            <w:gridSpan w:val="2"/>
            <w:vAlign w:val="center"/>
          </w:tcPr>
          <w:p>
            <w:pPr>
              <w:spacing w:line="400" w:lineRule="exact"/>
              <w:jc w:val="left"/>
              <w:rPr>
                <w:rFonts w:hAnsi="宋体"/>
                <w:sz w:val="18"/>
                <w:szCs w:val="18"/>
              </w:rPr>
            </w:pPr>
            <w:r>
              <w:rPr>
                <w:rFonts w:hint="eastAsia" w:hAnsi="宋体"/>
                <w:sz w:val="18"/>
                <w:szCs w:val="18"/>
              </w:rPr>
              <w:t>12</w:t>
            </w:r>
          </w:p>
        </w:tc>
        <w:tc>
          <w:tcPr>
            <w:tcW w:w="5558" w:type="dxa"/>
            <w:gridSpan w:val="3"/>
            <w:vMerge w:val="restart"/>
            <w:vAlign w:val="center"/>
          </w:tcPr>
          <w:p>
            <w:pPr>
              <w:numPr>
                <w:ilvl w:val="0"/>
                <w:numId w:val="2"/>
              </w:numPr>
              <w:tabs>
                <w:tab w:val="left" w:pos="156"/>
                <w:tab w:val="clear" w:pos="420"/>
              </w:tabs>
              <w:spacing w:beforeLines="10" w:line="340" w:lineRule="exact"/>
              <w:ind w:left="181" w:hanging="181"/>
              <w:rPr>
                <w:sz w:val="18"/>
                <w:szCs w:val="18"/>
              </w:rPr>
            </w:pPr>
            <w:r>
              <w:rPr>
                <w:rFonts w:hint="eastAsia"/>
                <w:sz w:val="18"/>
                <w:szCs w:val="18"/>
              </w:rPr>
              <w:t>本部分所指期刊论文是指财会类相关专业期刊或论文集论文。</w:t>
            </w:r>
          </w:p>
          <w:p>
            <w:pPr>
              <w:numPr>
                <w:ilvl w:val="0"/>
                <w:numId w:val="2"/>
              </w:numPr>
              <w:tabs>
                <w:tab w:val="left" w:pos="156"/>
                <w:tab w:val="clear" w:pos="420"/>
              </w:tabs>
              <w:spacing w:beforeLines="10" w:line="340" w:lineRule="exact"/>
              <w:ind w:left="181" w:hanging="181"/>
              <w:rPr>
                <w:sz w:val="18"/>
                <w:szCs w:val="18"/>
              </w:rPr>
            </w:pPr>
            <w:r>
              <w:rPr>
                <w:rFonts w:hint="eastAsia"/>
                <w:sz w:val="18"/>
                <w:szCs w:val="18"/>
              </w:rPr>
              <w:t>若提交会议论文同时被收入论文集和获奖（见获奖计分）的，按最高分计分，不重复累计。</w:t>
            </w:r>
          </w:p>
          <w:p>
            <w:pPr>
              <w:numPr>
                <w:ilvl w:val="0"/>
                <w:numId w:val="2"/>
              </w:numPr>
              <w:tabs>
                <w:tab w:val="left" w:pos="156"/>
                <w:tab w:val="clear" w:pos="420"/>
              </w:tabs>
              <w:spacing w:line="340" w:lineRule="exact"/>
              <w:ind w:left="184" w:hanging="184"/>
              <w:rPr>
                <w:sz w:val="18"/>
                <w:szCs w:val="18"/>
              </w:rPr>
            </w:pPr>
            <w:r>
              <w:rPr>
                <w:rFonts w:hint="eastAsia"/>
                <w:sz w:val="18"/>
                <w:szCs w:val="18"/>
              </w:rPr>
              <w:t>以公开发表期刊论文申报相关奖项的，可以分别按论文和奖项重复计分。</w:t>
            </w:r>
          </w:p>
          <w:p>
            <w:pPr>
              <w:numPr>
                <w:ilvl w:val="0"/>
                <w:numId w:val="2"/>
              </w:numPr>
              <w:tabs>
                <w:tab w:val="left" w:pos="156"/>
                <w:tab w:val="clear" w:pos="420"/>
              </w:tabs>
              <w:spacing w:line="340" w:lineRule="exact"/>
              <w:ind w:left="184" w:hanging="184"/>
              <w:rPr>
                <w:sz w:val="18"/>
                <w:szCs w:val="18"/>
              </w:rPr>
            </w:pPr>
            <w:r>
              <w:rPr>
                <w:rFonts w:hint="eastAsia"/>
                <w:sz w:val="18"/>
                <w:szCs w:val="18"/>
              </w:rPr>
              <w:t>合作发表学术论文的，第一作者按论文标准分值的60%计分；其余40%由论文参与者均分。导师为学术论文署名的第一作者，研究生为第二作者的，视研究生为第一作者。</w:t>
            </w:r>
          </w:p>
          <w:p>
            <w:pPr>
              <w:numPr>
                <w:ilvl w:val="0"/>
                <w:numId w:val="2"/>
              </w:numPr>
              <w:tabs>
                <w:tab w:val="left" w:pos="156"/>
                <w:tab w:val="clear" w:pos="420"/>
              </w:tabs>
              <w:spacing w:line="340" w:lineRule="exact"/>
              <w:ind w:left="184" w:hanging="184"/>
              <w:rPr>
                <w:sz w:val="18"/>
                <w:szCs w:val="18"/>
              </w:rPr>
            </w:pPr>
            <w:r>
              <w:rPr>
                <w:rFonts w:hint="eastAsia"/>
                <w:sz w:val="18"/>
                <w:szCs w:val="18"/>
              </w:rPr>
              <w:t>其他公开学术刊物仅指办学层次为本科及以上高校的学报；且其他公开学术刊物论文，累计分值不超过2分。</w:t>
            </w:r>
          </w:p>
          <w:p>
            <w:pPr>
              <w:numPr>
                <w:ilvl w:val="0"/>
                <w:numId w:val="2"/>
              </w:numPr>
              <w:tabs>
                <w:tab w:val="left" w:pos="156"/>
                <w:tab w:val="clear" w:pos="420"/>
              </w:tabs>
              <w:spacing w:line="340" w:lineRule="exact"/>
              <w:ind w:left="184" w:hanging="184"/>
              <w:rPr>
                <w:sz w:val="18"/>
                <w:szCs w:val="18"/>
              </w:rPr>
            </w:pPr>
            <w:r>
              <w:rPr>
                <w:rFonts w:hint="eastAsia"/>
                <w:sz w:val="18"/>
                <w:szCs w:val="18"/>
              </w:rPr>
              <w:t>参与完成著作的，要求完成字数大于1万字。</w:t>
            </w:r>
          </w:p>
          <w:p>
            <w:pPr>
              <w:numPr>
                <w:ilvl w:val="0"/>
                <w:numId w:val="2"/>
              </w:numPr>
              <w:tabs>
                <w:tab w:val="left" w:pos="156"/>
                <w:tab w:val="clear" w:pos="420"/>
              </w:tabs>
              <w:spacing w:line="340" w:lineRule="exact"/>
              <w:ind w:left="184" w:hanging="184"/>
              <w:rPr>
                <w:sz w:val="18"/>
                <w:szCs w:val="18"/>
              </w:rPr>
            </w:pPr>
            <w:r>
              <w:rPr>
                <w:rFonts w:hint="eastAsia"/>
                <w:sz w:val="18"/>
                <w:szCs w:val="18"/>
              </w:rPr>
              <w:t>论著应正式发表或出版；若以清样申请，则论著正式发表或出版时间则应在评审截止日期之前。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tcPr>
          <w:p>
            <w:pPr>
              <w:spacing w:line="400" w:lineRule="exact"/>
              <w:rPr>
                <w:rFonts w:hAnsi="宋体"/>
                <w:sz w:val="18"/>
                <w:szCs w:val="18"/>
              </w:rPr>
            </w:pPr>
            <w:r>
              <w:rPr>
                <w:rFonts w:hint="eastAsia" w:hAnsi="宋体"/>
                <w:sz w:val="18"/>
                <w:szCs w:val="18"/>
              </w:rPr>
              <w:t>人大复印资料转载论文</w:t>
            </w:r>
          </w:p>
        </w:tc>
        <w:tc>
          <w:tcPr>
            <w:tcW w:w="656" w:type="dxa"/>
            <w:gridSpan w:val="2"/>
            <w:vAlign w:val="center"/>
          </w:tcPr>
          <w:p>
            <w:pPr>
              <w:spacing w:line="400" w:lineRule="exact"/>
              <w:jc w:val="left"/>
              <w:rPr>
                <w:rFonts w:hAnsi="宋体"/>
                <w:sz w:val="18"/>
                <w:szCs w:val="18"/>
              </w:rPr>
            </w:pPr>
            <w:r>
              <w:rPr>
                <w:rFonts w:hint="eastAsia" w:hAnsi="宋体"/>
                <w:sz w:val="18"/>
                <w:szCs w:val="18"/>
              </w:rPr>
              <w:t>8</w:t>
            </w:r>
          </w:p>
        </w:tc>
        <w:tc>
          <w:tcPr>
            <w:tcW w:w="5558" w:type="dxa"/>
            <w:gridSpan w:val="3"/>
            <w:vMerge w:val="continue"/>
            <w:vAlign w:val="center"/>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tcPr>
          <w:p>
            <w:pPr>
              <w:spacing w:line="400" w:lineRule="exact"/>
              <w:rPr>
                <w:rFonts w:hAnsi="宋体"/>
                <w:sz w:val="18"/>
                <w:szCs w:val="18"/>
              </w:rPr>
            </w:pPr>
            <w:r>
              <w:rPr>
                <w:rFonts w:hint="eastAsia" w:hAnsi="宋体"/>
                <w:sz w:val="18"/>
                <w:szCs w:val="18"/>
              </w:rPr>
              <w:t>C刊期刊论文</w:t>
            </w:r>
          </w:p>
        </w:tc>
        <w:tc>
          <w:tcPr>
            <w:tcW w:w="656" w:type="dxa"/>
            <w:gridSpan w:val="2"/>
            <w:vAlign w:val="center"/>
          </w:tcPr>
          <w:p>
            <w:pPr>
              <w:spacing w:line="400" w:lineRule="exact"/>
              <w:jc w:val="left"/>
              <w:rPr>
                <w:rFonts w:hAnsi="宋体"/>
                <w:sz w:val="18"/>
                <w:szCs w:val="18"/>
              </w:rPr>
            </w:pPr>
            <w:r>
              <w:rPr>
                <w:rFonts w:hint="eastAsia" w:hAnsi="宋体"/>
                <w:sz w:val="18"/>
                <w:szCs w:val="18"/>
              </w:rPr>
              <w:t>6</w:t>
            </w:r>
          </w:p>
        </w:tc>
        <w:tc>
          <w:tcPr>
            <w:tcW w:w="5558" w:type="dxa"/>
            <w:gridSpan w:val="3"/>
            <w:vMerge w:val="continue"/>
            <w:vAlign w:val="center"/>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tcPr>
          <w:p>
            <w:pPr>
              <w:spacing w:line="400" w:lineRule="exact"/>
              <w:rPr>
                <w:rFonts w:hAnsi="宋体"/>
                <w:sz w:val="18"/>
                <w:szCs w:val="18"/>
              </w:rPr>
            </w:pPr>
            <w:r>
              <w:rPr>
                <w:rFonts w:hint="eastAsia" w:hAnsi="宋体"/>
                <w:sz w:val="18"/>
                <w:szCs w:val="18"/>
              </w:rPr>
              <w:t>北大核心刊物</w:t>
            </w:r>
          </w:p>
        </w:tc>
        <w:tc>
          <w:tcPr>
            <w:tcW w:w="656" w:type="dxa"/>
            <w:gridSpan w:val="2"/>
            <w:vAlign w:val="center"/>
          </w:tcPr>
          <w:p>
            <w:pPr>
              <w:spacing w:line="400" w:lineRule="exact"/>
              <w:jc w:val="left"/>
              <w:rPr>
                <w:rFonts w:hAnsi="宋体"/>
                <w:sz w:val="18"/>
                <w:szCs w:val="18"/>
              </w:rPr>
            </w:pPr>
            <w:r>
              <w:rPr>
                <w:rFonts w:hint="eastAsia" w:hAnsi="宋体"/>
                <w:sz w:val="18"/>
                <w:szCs w:val="18"/>
              </w:rPr>
              <w:t>4</w:t>
            </w:r>
          </w:p>
        </w:tc>
        <w:tc>
          <w:tcPr>
            <w:tcW w:w="5558" w:type="dxa"/>
            <w:gridSpan w:val="3"/>
            <w:vMerge w:val="continue"/>
            <w:vAlign w:val="center"/>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tcPr>
          <w:p>
            <w:pPr>
              <w:spacing w:line="400" w:lineRule="exact"/>
              <w:rPr>
                <w:rFonts w:hAnsi="宋体"/>
                <w:sz w:val="18"/>
                <w:szCs w:val="18"/>
              </w:rPr>
            </w:pPr>
            <w:r>
              <w:rPr>
                <w:rFonts w:hint="eastAsia" w:hAnsi="宋体"/>
                <w:sz w:val="18"/>
                <w:szCs w:val="18"/>
              </w:rPr>
              <w:t>其他公开</w:t>
            </w:r>
            <w:r>
              <w:rPr>
                <w:rFonts w:hAnsi="宋体"/>
                <w:sz w:val="18"/>
                <w:szCs w:val="18"/>
              </w:rPr>
              <w:t>学术刊物（有ISSN刊号）、论文集（有ISBN号）</w:t>
            </w:r>
            <w:r>
              <w:rPr>
                <w:rFonts w:hint="eastAsia" w:hAnsi="宋体"/>
                <w:sz w:val="18"/>
                <w:szCs w:val="18"/>
              </w:rPr>
              <w:t>论文</w:t>
            </w:r>
          </w:p>
        </w:tc>
        <w:tc>
          <w:tcPr>
            <w:tcW w:w="656" w:type="dxa"/>
            <w:gridSpan w:val="2"/>
            <w:vAlign w:val="center"/>
          </w:tcPr>
          <w:p>
            <w:pPr>
              <w:spacing w:line="400" w:lineRule="exact"/>
              <w:jc w:val="left"/>
              <w:rPr>
                <w:rFonts w:hAnsi="宋体"/>
                <w:sz w:val="18"/>
                <w:szCs w:val="18"/>
              </w:rPr>
            </w:pPr>
            <w:r>
              <w:rPr>
                <w:rFonts w:hint="eastAsia" w:hAnsi="宋体"/>
                <w:sz w:val="18"/>
                <w:szCs w:val="18"/>
              </w:rPr>
              <w:t>2</w:t>
            </w:r>
          </w:p>
        </w:tc>
        <w:tc>
          <w:tcPr>
            <w:tcW w:w="5558" w:type="dxa"/>
            <w:gridSpan w:val="3"/>
            <w:vMerge w:val="continue"/>
            <w:vAlign w:val="center"/>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752" w:type="dxa"/>
            <w:tcBorders>
              <w:bottom w:val="single" w:color="auto" w:sz="12" w:space="0"/>
            </w:tcBorders>
          </w:tcPr>
          <w:p>
            <w:pPr>
              <w:spacing w:line="400" w:lineRule="exact"/>
              <w:rPr>
                <w:rFonts w:hAnsi="宋体"/>
                <w:sz w:val="18"/>
                <w:szCs w:val="18"/>
              </w:rPr>
            </w:pPr>
            <w:r>
              <w:rPr>
                <w:rFonts w:hint="eastAsia" w:hAnsi="宋体"/>
                <w:sz w:val="18"/>
                <w:szCs w:val="18"/>
              </w:rPr>
              <w:t>著作（专著、译著、教材）</w:t>
            </w:r>
          </w:p>
        </w:tc>
        <w:tc>
          <w:tcPr>
            <w:tcW w:w="656" w:type="dxa"/>
            <w:gridSpan w:val="2"/>
            <w:tcBorders>
              <w:bottom w:val="single" w:color="auto" w:sz="12" w:space="0"/>
            </w:tcBorders>
            <w:vAlign w:val="center"/>
          </w:tcPr>
          <w:p>
            <w:pPr>
              <w:jc w:val="left"/>
              <w:rPr>
                <w:rFonts w:hAnsi="宋体"/>
                <w:sz w:val="18"/>
                <w:szCs w:val="18"/>
              </w:rPr>
            </w:pPr>
            <w:r>
              <w:rPr>
                <w:rFonts w:hint="eastAsia" w:hAnsi="宋体"/>
                <w:sz w:val="18"/>
                <w:szCs w:val="18"/>
              </w:rPr>
              <w:t>第一</w:t>
            </w:r>
          </w:p>
          <w:p>
            <w:pPr>
              <w:jc w:val="left"/>
              <w:rPr>
                <w:rFonts w:hAnsi="宋体"/>
                <w:sz w:val="18"/>
                <w:szCs w:val="18"/>
              </w:rPr>
            </w:pPr>
            <w:r>
              <w:rPr>
                <w:rFonts w:hint="eastAsia" w:hAnsi="宋体"/>
                <w:sz w:val="18"/>
                <w:szCs w:val="18"/>
              </w:rPr>
              <w:t>作者</w:t>
            </w:r>
          </w:p>
          <w:p>
            <w:pPr>
              <w:jc w:val="left"/>
              <w:rPr>
                <w:rFonts w:hAnsi="宋体"/>
                <w:sz w:val="18"/>
                <w:szCs w:val="18"/>
              </w:rPr>
            </w:pPr>
            <w:r>
              <w:rPr>
                <w:rFonts w:hint="eastAsia" w:hAnsi="宋体"/>
                <w:sz w:val="18"/>
                <w:szCs w:val="18"/>
              </w:rPr>
              <w:t>6；</w:t>
            </w:r>
          </w:p>
          <w:p>
            <w:pPr>
              <w:jc w:val="left"/>
              <w:rPr>
                <w:rFonts w:hAnsi="宋体"/>
                <w:sz w:val="18"/>
                <w:szCs w:val="18"/>
              </w:rPr>
            </w:pPr>
            <w:r>
              <w:rPr>
                <w:rFonts w:hint="eastAsia" w:hAnsi="宋体"/>
                <w:sz w:val="18"/>
                <w:szCs w:val="18"/>
              </w:rPr>
              <w:t>参与</w:t>
            </w:r>
          </w:p>
          <w:p>
            <w:pPr>
              <w:jc w:val="left"/>
              <w:rPr>
                <w:rFonts w:hAnsi="宋体"/>
                <w:sz w:val="18"/>
                <w:szCs w:val="18"/>
              </w:rPr>
            </w:pPr>
            <w:r>
              <w:rPr>
                <w:rFonts w:hint="eastAsia" w:hAnsi="宋体"/>
                <w:sz w:val="18"/>
                <w:szCs w:val="18"/>
              </w:rPr>
              <w:t>1</w:t>
            </w:r>
          </w:p>
        </w:tc>
        <w:tc>
          <w:tcPr>
            <w:tcW w:w="5558" w:type="dxa"/>
            <w:gridSpan w:val="3"/>
            <w:vMerge w:val="continue"/>
            <w:tcBorders>
              <w:bottom w:val="single" w:color="auto" w:sz="12" w:space="0"/>
            </w:tcBorders>
            <w:vAlign w:val="center"/>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6" w:type="dxa"/>
            <w:gridSpan w:val="6"/>
            <w:tcBorders>
              <w:top w:val="single" w:color="auto" w:sz="12" w:space="0"/>
              <w:bottom w:val="single" w:color="auto" w:sz="12" w:space="0"/>
            </w:tcBorders>
          </w:tcPr>
          <w:p>
            <w:pPr>
              <w:spacing w:line="400" w:lineRule="exact"/>
              <w:jc w:val="center"/>
              <w:rPr>
                <w:b/>
                <w:szCs w:val="21"/>
              </w:rPr>
            </w:pPr>
            <w:r>
              <w:rPr>
                <w:rFonts w:hint="eastAsia" w:ascii="黑体" w:hAnsi="黑体" w:eastAsia="黑体"/>
                <w:b/>
                <w:szCs w:val="21"/>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752" w:type="dxa"/>
            <w:tcBorders>
              <w:top w:val="single" w:color="auto" w:sz="12" w:space="0"/>
            </w:tcBorders>
            <w:vAlign w:val="center"/>
          </w:tcPr>
          <w:p>
            <w:pPr>
              <w:spacing w:line="340" w:lineRule="exact"/>
              <w:jc w:val="center"/>
              <w:rPr>
                <w:rFonts w:hAnsi="宋体"/>
                <w:b/>
                <w:sz w:val="18"/>
                <w:szCs w:val="18"/>
              </w:rPr>
            </w:pPr>
            <w:r>
              <w:rPr>
                <w:rFonts w:hint="eastAsia" w:hAnsi="宋体"/>
                <w:b/>
                <w:sz w:val="18"/>
                <w:szCs w:val="18"/>
              </w:rPr>
              <w:t>课题级别</w:t>
            </w:r>
          </w:p>
        </w:tc>
        <w:tc>
          <w:tcPr>
            <w:tcW w:w="1898" w:type="dxa"/>
            <w:gridSpan w:val="4"/>
            <w:tcBorders>
              <w:top w:val="single" w:color="auto" w:sz="12" w:space="0"/>
            </w:tcBorders>
            <w:vAlign w:val="center"/>
          </w:tcPr>
          <w:p>
            <w:pPr>
              <w:spacing w:line="340" w:lineRule="exact"/>
              <w:jc w:val="center"/>
              <w:rPr>
                <w:rFonts w:ascii="宋体" w:hAnsi="宋体"/>
                <w:b/>
                <w:sz w:val="18"/>
                <w:szCs w:val="18"/>
              </w:rPr>
            </w:pPr>
            <w:r>
              <w:rPr>
                <w:rFonts w:hint="eastAsia" w:ascii="宋体" w:hAnsi="宋体"/>
                <w:b/>
                <w:sz w:val="18"/>
                <w:szCs w:val="18"/>
              </w:rPr>
              <w:t>分值</w:t>
            </w:r>
          </w:p>
        </w:tc>
        <w:tc>
          <w:tcPr>
            <w:tcW w:w="4316" w:type="dxa"/>
            <w:tcBorders>
              <w:top w:val="single" w:color="auto" w:sz="12" w:space="0"/>
            </w:tcBorders>
            <w:shd w:val="clear" w:color="auto" w:fill="auto"/>
            <w:vAlign w:val="center"/>
          </w:tcPr>
          <w:p>
            <w:pPr>
              <w:spacing w:line="340" w:lineRule="exact"/>
              <w:jc w:val="center"/>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tcPr>
          <w:p>
            <w:pPr>
              <w:spacing w:line="400" w:lineRule="exact"/>
              <w:rPr>
                <w:rFonts w:hAnsi="宋体"/>
                <w:sz w:val="18"/>
                <w:szCs w:val="18"/>
              </w:rPr>
            </w:pPr>
            <w:r>
              <w:rPr>
                <w:rFonts w:hint="eastAsia" w:hAnsi="宋体"/>
                <w:sz w:val="18"/>
                <w:szCs w:val="18"/>
              </w:rPr>
              <w:t>国家级课题</w:t>
            </w:r>
          </w:p>
        </w:tc>
        <w:tc>
          <w:tcPr>
            <w:tcW w:w="1898" w:type="dxa"/>
            <w:gridSpan w:val="4"/>
            <w:vAlign w:val="center"/>
          </w:tcPr>
          <w:p>
            <w:pPr>
              <w:spacing w:line="400" w:lineRule="exact"/>
              <w:jc w:val="center"/>
              <w:rPr>
                <w:rFonts w:hAnsi="宋体"/>
                <w:sz w:val="18"/>
                <w:szCs w:val="18"/>
              </w:rPr>
            </w:pPr>
            <w:r>
              <w:rPr>
                <w:rFonts w:hint="eastAsia" w:hAnsi="宋体"/>
                <w:sz w:val="18"/>
                <w:szCs w:val="18"/>
              </w:rPr>
              <w:t>10</w:t>
            </w:r>
          </w:p>
        </w:tc>
        <w:tc>
          <w:tcPr>
            <w:tcW w:w="4316" w:type="dxa"/>
            <w:vMerge w:val="restart"/>
            <w:shd w:val="clear" w:color="auto" w:fill="auto"/>
          </w:tcPr>
          <w:p>
            <w:pPr>
              <w:numPr>
                <w:ilvl w:val="0"/>
                <w:numId w:val="3"/>
              </w:numPr>
              <w:tabs>
                <w:tab w:val="left" w:pos="72"/>
                <w:tab w:val="clear" w:pos="420"/>
              </w:tabs>
              <w:spacing w:line="340" w:lineRule="exact"/>
              <w:ind w:left="210" w:hanging="210"/>
              <w:rPr>
                <w:sz w:val="18"/>
                <w:szCs w:val="18"/>
              </w:rPr>
            </w:pPr>
            <w:r>
              <w:rPr>
                <w:rFonts w:hint="eastAsia"/>
                <w:sz w:val="18"/>
                <w:szCs w:val="18"/>
              </w:rPr>
              <w:t>本部分课题是指由我校学生主持的课题。</w:t>
            </w:r>
          </w:p>
          <w:p>
            <w:pPr>
              <w:numPr>
                <w:ilvl w:val="0"/>
                <w:numId w:val="3"/>
              </w:numPr>
              <w:tabs>
                <w:tab w:val="left" w:pos="72"/>
                <w:tab w:val="clear" w:pos="420"/>
              </w:tabs>
              <w:spacing w:line="340" w:lineRule="exact"/>
              <w:ind w:left="210" w:hanging="210"/>
              <w:rPr>
                <w:sz w:val="18"/>
                <w:szCs w:val="18"/>
              </w:rPr>
            </w:pPr>
            <w:r>
              <w:rPr>
                <w:rFonts w:hint="eastAsia"/>
                <w:sz w:val="18"/>
                <w:szCs w:val="18"/>
              </w:rPr>
              <w:t>课题主持人，按课题标准分值的60%计分；其余40%由课题参与者均分，且国家级课题参与者得分不低于2分，省部级课题参与者得分不低于1分，课题立项加50%，结题后加50%。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52" w:type="dxa"/>
          </w:tcPr>
          <w:p>
            <w:pPr>
              <w:spacing w:line="400" w:lineRule="exact"/>
              <w:rPr>
                <w:rFonts w:hAnsi="宋体"/>
                <w:sz w:val="18"/>
                <w:szCs w:val="18"/>
              </w:rPr>
            </w:pPr>
            <w:r>
              <w:rPr>
                <w:rFonts w:hint="eastAsia" w:hAnsi="宋体"/>
                <w:sz w:val="18"/>
                <w:szCs w:val="18"/>
              </w:rPr>
              <w:t>省部级课题</w:t>
            </w:r>
          </w:p>
        </w:tc>
        <w:tc>
          <w:tcPr>
            <w:tcW w:w="1898" w:type="dxa"/>
            <w:gridSpan w:val="4"/>
            <w:vAlign w:val="center"/>
          </w:tcPr>
          <w:p>
            <w:pPr>
              <w:spacing w:line="400" w:lineRule="exact"/>
              <w:jc w:val="center"/>
              <w:rPr>
                <w:rFonts w:hAnsi="宋体"/>
                <w:sz w:val="18"/>
                <w:szCs w:val="18"/>
              </w:rPr>
            </w:pPr>
            <w:r>
              <w:rPr>
                <w:rFonts w:hint="eastAsia" w:hAnsi="宋体"/>
                <w:sz w:val="18"/>
                <w:szCs w:val="18"/>
              </w:rPr>
              <w:t>5</w:t>
            </w:r>
          </w:p>
        </w:tc>
        <w:tc>
          <w:tcPr>
            <w:tcW w:w="4316" w:type="dxa"/>
            <w:vMerge w:val="continue"/>
            <w:shd w:val="clear" w:color="auto" w:fill="auto"/>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52" w:type="dxa"/>
          </w:tcPr>
          <w:p>
            <w:pPr>
              <w:spacing w:line="400" w:lineRule="exact"/>
              <w:rPr>
                <w:rFonts w:hAnsi="宋体"/>
                <w:sz w:val="18"/>
                <w:szCs w:val="18"/>
              </w:rPr>
            </w:pPr>
            <w:r>
              <w:rPr>
                <w:rFonts w:hint="eastAsia" w:hAnsi="宋体"/>
                <w:sz w:val="18"/>
                <w:szCs w:val="18"/>
              </w:rPr>
              <w:t>厅级课题</w:t>
            </w:r>
          </w:p>
        </w:tc>
        <w:tc>
          <w:tcPr>
            <w:tcW w:w="1898" w:type="dxa"/>
            <w:gridSpan w:val="4"/>
            <w:vAlign w:val="center"/>
          </w:tcPr>
          <w:p>
            <w:pPr>
              <w:spacing w:line="400" w:lineRule="exact"/>
              <w:jc w:val="center"/>
              <w:rPr>
                <w:rFonts w:hAnsi="宋体"/>
                <w:sz w:val="18"/>
                <w:szCs w:val="18"/>
              </w:rPr>
            </w:pPr>
            <w:r>
              <w:rPr>
                <w:rFonts w:hint="eastAsia" w:hAnsi="宋体"/>
                <w:sz w:val="18"/>
                <w:szCs w:val="18"/>
              </w:rPr>
              <w:t>3</w:t>
            </w:r>
          </w:p>
        </w:tc>
        <w:tc>
          <w:tcPr>
            <w:tcW w:w="4316" w:type="dxa"/>
            <w:vMerge w:val="continue"/>
            <w:shd w:val="clear" w:color="auto" w:fill="auto"/>
          </w:tcPr>
          <w:p>
            <w:pPr>
              <w:spacing w:line="3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2" w:type="dxa"/>
            <w:tcBorders>
              <w:bottom w:val="single" w:color="auto" w:sz="12" w:space="0"/>
            </w:tcBorders>
          </w:tcPr>
          <w:p>
            <w:pPr>
              <w:spacing w:line="400" w:lineRule="exact"/>
              <w:rPr>
                <w:rFonts w:hAnsi="宋体"/>
                <w:sz w:val="18"/>
                <w:szCs w:val="18"/>
              </w:rPr>
            </w:pPr>
            <w:r>
              <w:rPr>
                <w:rFonts w:hint="eastAsia" w:hAnsi="宋体"/>
                <w:sz w:val="18"/>
                <w:szCs w:val="18"/>
              </w:rPr>
              <w:t>校级课题（重点/一般）</w:t>
            </w:r>
          </w:p>
        </w:tc>
        <w:tc>
          <w:tcPr>
            <w:tcW w:w="1898" w:type="dxa"/>
            <w:gridSpan w:val="4"/>
            <w:tcBorders>
              <w:bottom w:val="single" w:color="auto" w:sz="12" w:space="0"/>
            </w:tcBorders>
            <w:vAlign w:val="center"/>
          </w:tcPr>
          <w:p>
            <w:pPr>
              <w:spacing w:line="400" w:lineRule="exact"/>
              <w:jc w:val="center"/>
              <w:rPr>
                <w:rFonts w:hAnsi="宋体"/>
                <w:sz w:val="18"/>
                <w:szCs w:val="18"/>
              </w:rPr>
            </w:pPr>
            <w:r>
              <w:rPr>
                <w:rFonts w:hint="eastAsia" w:hAnsi="宋体"/>
                <w:sz w:val="18"/>
                <w:szCs w:val="18"/>
              </w:rPr>
              <w:t>2/1</w:t>
            </w:r>
          </w:p>
        </w:tc>
        <w:tc>
          <w:tcPr>
            <w:tcW w:w="4316" w:type="dxa"/>
            <w:vMerge w:val="continue"/>
            <w:tcBorders>
              <w:bottom w:val="single" w:color="auto" w:sz="12" w:space="0"/>
            </w:tcBorders>
            <w:shd w:val="clear" w:color="auto" w:fill="auto"/>
          </w:tcPr>
          <w:p>
            <w:pPr>
              <w:spacing w:line="340" w:lineRule="exact"/>
              <w:jc w:val="center"/>
              <w:rPr>
                <w:sz w:val="18"/>
                <w:szCs w:val="18"/>
              </w:rPr>
            </w:pP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6" w:type="dxa"/>
            <w:gridSpan w:val="2"/>
            <w:tcBorders>
              <w:top w:val="single" w:color="auto" w:sz="12" w:space="0"/>
              <w:bottom w:val="single" w:color="auto" w:sz="12" w:space="0"/>
            </w:tcBorders>
          </w:tcPr>
          <w:p>
            <w:pPr>
              <w:spacing w:line="400" w:lineRule="exact"/>
              <w:jc w:val="center"/>
              <w:rPr>
                <w:b/>
                <w:szCs w:val="21"/>
              </w:rPr>
            </w:pPr>
            <w:r>
              <w:rPr>
                <w:rFonts w:hint="eastAsia" w:ascii="黑体" w:hAnsi="黑体" w:eastAsia="黑体"/>
                <w:b/>
                <w:szCs w:val="21"/>
              </w:rPr>
              <w:t>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960" w:type="dxa"/>
            <w:tcBorders>
              <w:top w:val="single" w:color="auto" w:sz="12" w:space="0"/>
            </w:tcBorders>
          </w:tcPr>
          <w:p>
            <w:pPr>
              <w:spacing w:line="340" w:lineRule="exact"/>
              <w:jc w:val="center"/>
              <w:rPr>
                <w:rFonts w:hAnsi="宋体"/>
                <w:b/>
                <w:sz w:val="18"/>
                <w:szCs w:val="18"/>
              </w:rPr>
            </w:pPr>
            <w:r>
              <w:rPr>
                <w:rFonts w:hint="eastAsia" w:hAnsi="宋体"/>
                <w:b/>
                <w:sz w:val="18"/>
                <w:szCs w:val="18"/>
              </w:rPr>
              <w:t>项目</w:t>
            </w:r>
          </w:p>
        </w:tc>
        <w:tc>
          <w:tcPr>
            <w:tcW w:w="6006" w:type="dxa"/>
            <w:tcBorders>
              <w:top w:val="single" w:color="auto" w:sz="12" w:space="0"/>
            </w:tcBorders>
            <w:vAlign w:val="center"/>
          </w:tcPr>
          <w:p>
            <w:pPr>
              <w:spacing w:line="340" w:lineRule="exact"/>
              <w:jc w:val="center"/>
              <w:rPr>
                <w:b/>
                <w:sz w:val="18"/>
                <w:szCs w:val="18"/>
              </w:rPr>
            </w:pPr>
            <w:r>
              <w:rPr>
                <w:rFonts w:hint="eastAsia"/>
                <w:b/>
                <w:sz w:val="18"/>
                <w:szCs w:val="18"/>
              </w:rPr>
              <w:t>分值及说明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960" w:type="dxa"/>
            <w:tcBorders>
              <w:top w:val="single" w:color="auto" w:sz="4" w:space="0"/>
            </w:tcBorders>
          </w:tcPr>
          <w:p>
            <w:pPr>
              <w:spacing w:line="340" w:lineRule="exact"/>
              <w:rPr>
                <w:rFonts w:hAnsi="宋体"/>
                <w:sz w:val="18"/>
                <w:szCs w:val="18"/>
              </w:rPr>
            </w:pPr>
            <w:r>
              <w:rPr>
                <w:rFonts w:hint="eastAsia" w:hAnsi="宋体"/>
                <w:sz w:val="18"/>
                <w:szCs w:val="18"/>
              </w:rPr>
              <w:t>社会工作</w:t>
            </w:r>
          </w:p>
        </w:tc>
        <w:tc>
          <w:tcPr>
            <w:tcW w:w="6006" w:type="dxa"/>
            <w:tcBorders>
              <w:top w:val="single" w:color="auto" w:sz="4" w:space="0"/>
            </w:tcBorders>
            <w:vAlign w:val="center"/>
          </w:tcPr>
          <w:p>
            <w:pPr>
              <w:numPr>
                <w:ilvl w:val="0"/>
                <w:numId w:val="4"/>
              </w:numPr>
              <w:spacing w:line="340" w:lineRule="exact"/>
              <w:rPr>
                <w:sz w:val="18"/>
                <w:szCs w:val="18"/>
              </w:rPr>
            </w:pPr>
            <w:r>
              <w:rPr>
                <w:rFonts w:hint="eastAsia"/>
                <w:sz w:val="18"/>
                <w:szCs w:val="18"/>
              </w:rPr>
              <w:t>担任学生干部满一年，工作认真负责，予以计分。担任班长、团支部书记、党支部书记、院研究生会部长以上主要学生干部的，每人计1分，其他学生干部、党支部干部每人计0.5分。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60" w:type="dxa"/>
            <w:vAlign w:val="center"/>
          </w:tcPr>
          <w:p>
            <w:pPr>
              <w:spacing w:line="340" w:lineRule="exact"/>
              <w:rPr>
                <w:rFonts w:hAnsi="宋体"/>
                <w:sz w:val="18"/>
                <w:szCs w:val="18"/>
              </w:rPr>
            </w:pPr>
            <w:r>
              <w:rPr>
                <w:rFonts w:hint="eastAsia" w:hAnsi="宋体"/>
                <w:sz w:val="18"/>
                <w:szCs w:val="18"/>
              </w:rPr>
              <w:t>荣誉获奖</w:t>
            </w:r>
          </w:p>
        </w:tc>
        <w:tc>
          <w:tcPr>
            <w:tcW w:w="6006" w:type="dxa"/>
            <w:vAlign w:val="center"/>
          </w:tcPr>
          <w:p>
            <w:pPr>
              <w:numPr>
                <w:ilvl w:val="0"/>
                <w:numId w:val="4"/>
              </w:numPr>
              <w:spacing w:line="340" w:lineRule="exact"/>
              <w:rPr>
                <w:sz w:val="18"/>
                <w:szCs w:val="18"/>
              </w:rPr>
            </w:pPr>
            <w:r>
              <w:rPr>
                <w:rFonts w:hint="eastAsia"/>
                <w:sz w:val="18"/>
                <w:szCs w:val="18"/>
              </w:rPr>
              <w:t>国家级5分，省部级2.5分，校级1分，院级0.5分。</w:t>
            </w:r>
          </w:p>
          <w:p>
            <w:pPr>
              <w:numPr>
                <w:ilvl w:val="0"/>
                <w:numId w:val="4"/>
              </w:numPr>
              <w:spacing w:line="340" w:lineRule="exact"/>
              <w:rPr>
                <w:sz w:val="18"/>
                <w:szCs w:val="18"/>
              </w:rPr>
            </w:pPr>
            <w:r>
              <w:rPr>
                <w:rFonts w:hint="eastAsia"/>
                <w:sz w:val="18"/>
                <w:szCs w:val="18"/>
              </w:rPr>
              <w:t>集体项目获得荣誉，第一完成人按荣誉获奖标准分值的60%计分；其余40%由参与者均分；若排名不分先后，所有参与者按标准分值均分；国家级荣誉获奖参与者得分不低于2分，省部级荣誉获奖参与者得分不低于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2960" w:type="dxa"/>
            <w:vAlign w:val="center"/>
          </w:tcPr>
          <w:p>
            <w:pPr>
              <w:spacing w:line="340" w:lineRule="exact"/>
              <w:rPr>
                <w:rFonts w:hAnsi="宋体"/>
                <w:sz w:val="18"/>
                <w:szCs w:val="18"/>
              </w:rPr>
            </w:pPr>
            <w:r>
              <w:rPr>
                <w:rFonts w:hint="eastAsia" w:hAnsi="宋体"/>
                <w:sz w:val="18"/>
                <w:szCs w:val="18"/>
              </w:rPr>
              <w:t>参加</w:t>
            </w:r>
            <w:r>
              <w:rPr>
                <w:rFonts w:hint="eastAsia"/>
                <w:sz w:val="18"/>
                <w:szCs w:val="18"/>
              </w:rPr>
              <w:t>执业资格考试或能力测试</w:t>
            </w:r>
          </w:p>
        </w:tc>
        <w:tc>
          <w:tcPr>
            <w:tcW w:w="6006" w:type="dxa"/>
            <w:vAlign w:val="center"/>
          </w:tcPr>
          <w:p>
            <w:pPr>
              <w:numPr>
                <w:ilvl w:val="0"/>
                <w:numId w:val="4"/>
              </w:numPr>
              <w:spacing w:line="340" w:lineRule="exact"/>
              <w:rPr>
                <w:sz w:val="18"/>
                <w:szCs w:val="18"/>
              </w:rPr>
            </w:pPr>
            <w:r>
              <w:rPr>
                <w:rFonts w:hint="eastAsia"/>
                <w:sz w:val="18"/>
                <w:szCs w:val="18"/>
              </w:rPr>
              <w:t>CPA考试通过3门、4门、5门及以上，分别计1分、2分、3分。</w:t>
            </w:r>
          </w:p>
          <w:p>
            <w:pPr>
              <w:numPr>
                <w:ilvl w:val="0"/>
                <w:numId w:val="4"/>
              </w:numPr>
              <w:spacing w:line="340" w:lineRule="exact"/>
              <w:rPr>
                <w:sz w:val="18"/>
                <w:szCs w:val="18"/>
              </w:rPr>
            </w:pPr>
            <w:r>
              <w:rPr>
                <w:rFonts w:hint="eastAsia"/>
                <w:sz w:val="18"/>
                <w:szCs w:val="18"/>
              </w:rPr>
              <w:t>ACCA考试，F阶段通过计2分；全科通过，计3分；</w:t>
            </w:r>
          </w:p>
          <w:p>
            <w:pPr>
              <w:numPr>
                <w:ilvl w:val="0"/>
                <w:numId w:val="4"/>
              </w:numPr>
              <w:spacing w:line="340" w:lineRule="exact"/>
              <w:rPr>
                <w:sz w:val="18"/>
                <w:szCs w:val="18"/>
              </w:rPr>
            </w:pPr>
            <w:r>
              <w:rPr>
                <w:rFonts w:hint="eastAsia"/>
                <w:sz w:val="18"/>
                <w:szCs w:val="18"/>
              </w:rPr>
              <w:t>澳洲CPA、CIMA 、AICPA全科通过，计3分；</w:t>
            </w:r>
          </w:p>
          <w:p>
            <w:pPr>
              <w:numPr>
                <w:ilvl w:val="0"/>
                <w:numId w:val="4"/>
              </w:numPr>
              <w:spacing w:line="340" w:lineRule="exact"/>
              <w:rPr>
                <w:sz w:val="18"/>
                <w:szCs w:val="18"/>
              </w:rPr>
            </w:pPr>
            <w:r>
              <w:rPr>
                <w:rFonts w:hint="eastAsia"/>
                <w:sz w:val="18"/>
                <w:szCs w:val="18"/>
              </w:rPr>
              <w:t>CIA、CMA、司法考试全科通过，计1.5分；</w:t>
            </w:r>
          </w:p>
          <w:p>
            <w:pPr>
              <w:numPr>
                <w:ilvl w:val="0"/>
                <w:numId w:val="4"/>
              </w:numPr>
              <w:spacing w:line="340" w:lineRule="exact"/>
              <w:rPr>
                <w:sz w:val="18"/>
                <w:szCs w:val="18"/>
              </w:rPr>
            </w:pPr>
            <w:r>
              <w:rPr>
                <w:rFonts w:hint="eastAsia"/>
                <w:sz w:val="18"/>
                <w:szCs w:val="18"/>
              </w:rPr>
              <w:t>参加其他执业资格考试或能力测试，由</w:t>
            </w:r>
            <w:r>
              <w:rPr>
                <w:sz w:val="18"/>
                <w:szCs w:val="18"/>
              </w:rPr>
              <w:t>学院研究生国家奖学金评审委员会</w:t>
            </w:r>
            <w:r>
              <w:rPr>
                <w:rFonts w:hint="eastAsia"/>
                <w:sz w:val="18"/>
                <w:szCs w:val="18"/>
              </w:rPr>
              <w:t>讨论决定。</w:t>
            </w:r>
          </w:p>
          <w:p>
            <w:pPr>
              <w:numPr>
                <w:ilvl w:val="0"/>
                <w:numId w:val="4"/>
              </w:numPr>
              <w:spacing w:line="340" w:lineRule="exact"/>
              <w:rPr>
                <w:sz w:val="18"/>
                <w:szCs w:val="18"/>
              </w:rPr>
            </w:pPr>
            <w:r>
              <w:rPr>
                <w:rFonts w:hint="eastAsia"/>
                <w:sz w:val="18"/>
                <w:szCs w:val="18"/>
              </w:rPr>
              <w:t>资格考试栏目累计加分最高分为3分。（所有考试及证书须在研究生期间取得）</w:t>
            </w:r>
          </w:p>
        </w:tc>
      </w:tr>
    </w:tbl>
    <w:p>
      <w:pPr>
        <w:widowControl/>
        <w:shd w:val="clear" w:color="auto" w:fill="FFFFFF"/>
        <w:spacing w:line="300" w:lineRule="auto"/>
        <w:jc w:val="left"/>
        <w:rPr>
          <w:rFonts w:hAnsi="Tahoma" w:cs="Tahoma"/>
          <w:b/>
          <w:kern w:val="0"/>
          <w:sz w:val="24"/>
        </w:rPr>
      </w:pPr>
    </w:p>
    <w:p>
      <w:pPr>
        <w:widowControl/>
        <w:shd w:val="clear" w:color="auto" w:fill="FFFFFF"/>
        <w:spacing w:line="300" w:lineRule="auto"/>
        <w:ind w:firstLine="560"/>
        <w:jc w:val="left"/>
        <w:rPr>
          <w:rFonts w:cs="Tahoma"/>
          <w:kern w:val="0"/>
          <w:sz w:val="24"/>
        </w:rPr>
      </w:pPr>
    </w:p>
    <w:p>
      <w:pPr>
        <w:widowControl/>
        <w:shd w:val="clear" w:color="auto" w:fill="FFFFFF"/>
        <w:spacing w:line="300" w:lineRule="auto"/>
        <w:ind w:firstLine="560"/>
        <w:jc w:val="left"/>
        <w:rPr>
          <w:rFonts w:cs="Tahoma"/>
          <w:kern w:val="0"/>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8405A"/>
    <w:multiLevelType w:val="multilevel"/>
    <w:tmpl w:val="07B840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E8115C"/>
    <w:multiLevelType w:val="multilevel"/>
    <w:tmpl w:val="20E8115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1C1C72"/>
    <w:multiLevelType w:val="multilevel"/>
    <w:tmpl w:val="391C1C7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0103706"/>
    <w:multiLevelType w:val="multilevel"/>
    <w:tmpl w:val="5010370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iMGRiNDY5Zjc5MDU4OTU4YjgzYzI0OGM3YzU5OWMifQ=="/>
  </w:docVars>
  <w:rsids>
    <w:rsidRoot w:val="00474FC7"/>
    <w:rsid w:val="00024CE7"/>
    <w:rsid w:val="00030EA7"/>
    <w:rsid w:val="00055FCB"/>
    <w:rsid w:val="0009718B"/>
    <w:rsid w:val="000C07D4"/>
    <w:rsid w:val="000D753F"/>
    <w:rsid w:val="0010080E"/>
    <w:rsid w:val="00116567"/>
    <w:rsid w:val="00130A88"/>
    <w:rsid w:val="00131C00"/>
    <w:rsid w:val="001718CA"/>
    <w:rsid w:val="00185FF5"/>
    <w:rsid w:val="001B6516"/>
    <w:rsid w:val="001C178A"/>
    <w:rsid w:val="001D3BE5"/>
    <w:rsid w:val="001E7550"/>
    <w:rsid w:val="002152BF"/>
    <w:rsid w:val="00215758"/>
    <w:rsid w:val="00223E77"/>
    <w:rsid w:val="00230731"/>
    <w:rsid w:val="0023669A"/>
    <w:rsid w:val="00270867"/>
    <w:rsid w:val="002F7543"/>
    <w:rsid w:val="00320041"/>
    <w:rsid w:val="00411F01"/>
    <w:rsid w:val="004278F9"/>
    <w:rsid w:val="00430562"/>
    <w:rsid w:val="00447254"/>
    <w:rsid w:val="004540F6"/>
    <w:rsid w:val="00474FC7"/>
    <w:rsid w:val="0048012A"/>
    <w:rsid w:val="004B15ED"/>
    <w:rsid w:val="004E4B21"/>
    <w:rsid w:val="005126C6"/>
    <w:rsid w:val="00525DB1"/>
    <w:rsid w:val="0052640D"/>
    <w:rsid w:val="005455C1"/>
    <w:rsid w:val="005553AA"/>
    <w:rsid w:val="0056229F"/>
    <w:rsid w:val="00564113"/>
    <w:rsid w:val="00592D93"/>
    <w:rsid w:val="005A21CC"/>
    <w:rsid w:val="005B5FA8"/>
    <w:rsid w:val="005D3DEB"/>
    <w:rsid w:val="005F43A3"/>
    <w:rsid w:val="005F44D5"/>
    <w:rsid w:val="006021B7"/>
    <w:rsid w:val="00671A98"/>
    <w:rsid w:val="00672659"/>
    <w:rsid w:val="00692FA9"/>
    <w:rsid w:val="00693E17"/>
    <w:rsid w:val="006E795C"/>
    <w:rsid w:val="007108C4"/>
    <w:rsid w:val="00717D66"/>
    <w:rsid w:val="00780CEF"/>
    <w:rsid w:val="007A0212"/>
    <w:rsid w:val="007A7A96"/>
    <w:rsid w:val="007B2B41"/>
    <w:rsid w:val="007C4288"/>
    <w:rsid w:val="007C50BD"/>
    <w:rsid w:val="007D04B6"/>
    <w:rsid w:val="0082359D"/>
    <w:rsid w:val="00826A59"/>
    <w:rsid w:val="00843AC7"/>
    <w:rsid w:val="00854C76"/>
    <w:rsid w:val="00880E1B"/>
    <w:rsid w:val="008A3B63"/>
    <w:rsid w:val="008C2347"/>
    <w:rsid w:val="008F7BFD"/>
    <w:rsid w:val="00901743"/>
    <w:rsid w:val="00907A68"/>
    <w:rsid w:val="009115F2"/>
    <w:rsid w:val="009232D2"/>
    <w:rsid w:val="00951972"/>
    <w:rsid w:val="00955088"/>
    <w:rsid w:val="00971374"/>
    <w:rsid w:val="00992C9D"/>
    <w:rsid w:val="009A4109"/>
    <w:rsid w:val="009D4729"/>
    <w:rsid w:val="009D6643"/>
    <w:rsid w:val="00A03B46"/>
    <w:rsid w:val="00A20438"/>
    <w:rsid w:val="00A647C1"/>
    <w:rsid w:val="00A65397"/>
    <w:rsid w:val="00A65400"/>
    <w:rsid w:val="00A91B67"/>
    <w:rsid w:val="00AA02A0"/>
    <w:rsid w:val="00AA4F6E"/>
    <w:rsid w:val="00AA66FB"/>
    <w:rsid w:val="00AC12F0"/>
    <w:rsid w:val="00AC6A9E"/>
    <w:rsid w:val="00AE071A"/>
    <w:rsid w:val="00B41280"/>
    <w:rsid w:val="00B86F54"/>
    <w:rsid w:val="00BC2D93"/>
    <w:rsid w:val="00BC5088"/>
    <w:rsid w:val="00BE0D65"/>
    <w:rsid w:val="00BE41BF"/>
    <w:rsid w:val="00BE5B6A"/>
    <w:rsid w:val="00C01535"/>
    <w:rsid w:val="00C37F3B"/>
    <w:rsid w:val="00C4546C"/>
    <w:rsid w:val="00CA5111"/>
    <w:rsid w:val="00CB0C4B"/>
    <w:rsid w:val="00CB22D2"/>
    <w:rsid w:val="00CB5352"/>
    <w:rsid w:val="00CC27D5"/>
    <w:rsid w:val="00CD1F60"/>
    <w:rsid w:val="00CD4108"/>
    <w:rsid w:val="00CE0268"/>
    <w:rsid w:val="00CE2AC3"/>
    <w:rsid w:val="00CF1F97"/>
    <w:rsid w:val="00CF7335"/>
    <w:rsid w:val="00D02980"/>
    <w:rsid w:val="00D20FE8"/>
    <w:rsid w:val="00D2419F"/>
    <w:rsid w:val="00D87774"/>
    <w:rsid w:val="00DB20B8"/>
    <w:rsid w:val="00DC573A"/>
    <w:rsid w:val="00E43192"/>
    <w:rsid w:val="00E50803"/>
    <w:rsid w:val="00E5362A"/>
    <w:rsid w:val="00E569C6"/>
    <w:rsid w:val="00EB08C0"/>
    <w:rsid w:val="00EB7966"/>
    <w:rsid w:val="00EC094D"/>
    <w:rsid w:val="00ED3273"/>
    <w:rsid w:val="00ED6633"/>
    <w:rsid w:val="00EE37FE"/>
    <w:rsid w:val="00F22BC5"/>
    <w:rsid w:val="00F350C3"/>
    <w:rsid w:val="00F36FAC"/>
    <w:rsid w:val="00F44DAB"/>
    <w:rsid w:val="00F4637C"/>
    <w:rsid w:val="00F76616"/>
    <w:rsid w:val="00F83125"/>
    <w:rsid w:val="00FA0A0A"/>
    <w:rsid w:val="00FE0DF9"/>
    <w:rsid w:val="01653BA4"/>
    <w:rsid w:val="102F7D69"/>
    <w:rsid w:val="1977452F"/>
    <w:rsid w:val="1EBB0A1A"/>
    <w:rsid w:val="24656867"/>
    <w:rsid w:val="264F486A"/>
    <w:rsid w:val="2E7D3F3E"/>
    <w:rsid w:val="377A54BF"/>
    <w:rsid w:val="388D4D7E"/>
    <w:rsid w:val="3FF57DD8"/>
    <w:rsid w:val="41CA7043"/>
    <w:rsid w:val="43D30430"/>
    <w:rsid w:val="4C1B0BC7"/>
    <w:rsid w:val="4C2630C7"/>
    <w:rsid w:val="4E010799"/>
    <w:rsid w:val="629C125C"/>
    <w:rsid w:val="6F1C062E"/>
    <w:rsid w:val="7399049F"/>
    <w:rsid w:val="76764AC8"/>
    <w:rsid w:val="787E5EB6"/>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timestyle800815994_48661"/>
    <w:basedOn w:val="7"/>
    <w:uiPriority w:val="0"/>
  </w:style>
  <w:style w:type="character" w:customStyle="1" w:styleId="9">
    <w:name w:val="apple-converted-space"/>
    <w:basedOn w:val="7"/>
    <w:autoRedefine/>
    <w:qFormat/>
    <w:uiPriority w:val="0"/>
  </w:style>
  <w:style w:type="character" w:customStyle="1" w:styleId="10">
    <w:name w:val="authorstyle800815994_48661"/>
    <w:basedOn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344</Words>
  <Characters>1964</Characters>
  <Lines>16</Lines>
  <Paragraphs>4</Paragraphs>
  <TotalTime>89</TotalTime>
  <ScaleCrop>false</ScaleCrop>
  <LinksUpToDate>false</LinksUpToDate>
  <CharactersWithSpaces>2304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2020-10-20T05:50:00Z</dcterms:created>
  <dc:creator>wsb</dc:creator>
  <cp:lastModifiedBy>李可爱</cp:lastModifiedBy>
  <cp:lastPrinted>2013-10-14T01:05:00Z</cp:lastPrinted>
  <dcterms:modified xsi:type="dcterms:W3CDTF">2024-09-24T08:33:29Z</dcterms:modified>
  <dc:title>财务与会计学院研究生国家奖学金评分标准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9164B6AB1F4E441F837B8C5E0915338A_12</vt:lpwstr>
  </property>
</Properties>
</file>