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18"/>
          <w:rFonts w:eastAsia="方正小标宋简体"/>
          <w:b/>
          <w:sz w:val="44"/>
          <w:szCs w:val="44"/>
        </w:rPr>
      </w:pPr>
    </w:p>
    <w:p>
      <w:pPr>
        <w:spacing w:after="156" w:line="560" w:lineRule="exact"/>
        <w:jc w:val="center"/>
        <w:textAlignment w:val="baseline"/>
        <w:rPr>
          <w:rStyle w:val="18"/>
          <w:rFonts w:ascii="方正小标宋简体" w:hAnsi="宋体" w:eastAsia="方正小标宋简体" w:cs="Times New Roman"/>
          <w:bCs/>
          <w:sz w:val="44"/>
          <w:szCs w:val="44"/>
        </w:rPr>
      </w:pPr>
    </w:p>
    <w:p>
      <w:pPr>
        <w:spacing w:after="156" w:line="560" w:lineRule="exact"/>
        <w:jc w:val="center"/>
        <w:textAlignment w:val="baseline"/>
        <w:rPr>
          <w:rStyle w:val="18"/>
          <w:rFonts w:ascii="方正小标宋简体" w:hAnsi="宋体" w:eastAsia="方正小标宋简体" w:cs="Times New Roman"/>
          <w:bCs/>
          <w:sz w:val="44"/>
          <w:szCs w:val="44"/>
        </w:rPr>
      </w:pPr>
    </w:p>
    <w:p>
      <w:pPr>
        <w:spacing w:after="156" w:line="560" w:lineRule="exact"/>
        <w:jc w:val="center"/>
        <w:textAlignment w:val="baseline"/>
        <w:rPr>
          <w:rStyle w:val="18"/>
          <w:rFonts w:ascii="方正小标宋简体" w:hAnsi="宋体" w:eastAsia="方正小标宋简体" w:cs="Times New Roman"/>
          <w:bCs/>
          <w:sz w:val="44"/>
          <w:szCs w:val="44"/>
        </w:rPr>
      </w:pPr>
      <w:r>
        <w:rPr>
          <w:rStyle w:val="18"/>
          <w:rFonts w:hint="eastAsia" w:ascii="方正小标宋简体" w:hAnsi="宋体" w:eastAsia="方正小标宋简体" w:cs="Times New Roman"/>
          <w:bCs/>
          <w:sz w:val="44"/>
          <w:szCs w:val="44"/>
        </w:rPr>
        <w:t>浙江工商大学学位授权点建设年度报告</w:t>
      </w:r>
    </w:p>
    <w:p>
      <w:pPr>
        <w:spacing w:after="156" w:line="560" w:lineRule="exact"/>
        <w:jc w:val="center"/>
        <w:textAlignment w:val="baseline"/>
        <w:rPr>
          <w:rStyle w:val="18"/>
          <w:rFonts w:ascii="方正小标宋简体" w:hAnsi="宋体" w:eastAsia="方正小标宋简体" w:cs="Times New Roman"/>
          <w:bCs/>
          <w:sz w:val="44"/>
          <w:szCs w:val="44"/>
        </w:rPr>
      </w:pPr>
      <w:r>
        <w:rPr>
          <w:rStyle w:val="18"/>
          <w:rFonts w:ascii="方正小标宋简体" w:hAnsi="宋体" w:eastAsia="方正小标宋简体" w:cs="Times New Roman"/>
          <w:bCs/>
          <w:sz w:val="44"/>
          <w:szCs w:val="44"/>
        </w:rPr>
        <w:t>（</w:t>
      </w:r>
      <w:r>
        <w:rPr>
          <w:rStyle w:val="18"/>
          <w:rFonts w:hint="eastAsia" w:ascii="方正小标宋简体" w:hAnsi="宋体" w:eastAsia="方正小标宋简体" w:cs="Times New Roman"/>
          <w:bCs/>
          <w:sz w:val="44"/>
          <w:szCs w:val="44"/>
        </w:rPr>
        <w:t>202</w:t>
      </w:r>
      <w:r>
        <w:rPr>
          <w:rStyle w:val="18"/>
          <w:rFonts w:ascii="方正小标宋简体" w:hAnsi="宋体" w:eastAsia="方正小标宋简体" w:cs="Times New Roman"/>
          <w:sz w:val="44"/>
          <w:szCs w:val="44"/>
        </w:rPr>
        <w:t>0</w:t>
      </w:r>
      <w:r>
        <w:rPr>
          <w:rStyle w:val="18"/>
          <w:rFonts w:hint="eastAsia" w:ascii="方正小标宋简体" w:hAnsi="宋体" w:eastAsia="方正小标宋简体" w:cs="Times New Roman"/>
          <w:bCs/>
          <w:sz w:val="44"/>
          <w:szCs w:val="44"/>
        </w:rPr>
        <w:t>年</w:t>
      </w:r>
      <w:r>
        <w:rPr>
          <w:rStyle w:val="18"/>
          <w:rFonts w:ascii="方正小标宋简体" w:hAnsi="宋体" w:eastAsia="方正小标宋简体" w:cs="Times New Roman"/>
          <w:bCs/>
          <w:sz w:val="44"/>
          <w:szCs w:val="44"/>
        </w:rPr>
        <w:t>）</w:t>
      </w:r>
    </w:p>
    <w:p>
      <w:pPr>
        <w:spacing w:after="156" w:line="560" w:lineRule="exact"/>
        <w:jc w:val="center"/>
        <w:textAlignment w:val="baseline"/>
        <w:rPr>
          <w:rStyle w:val="18"/>
          <w:rFonts w:ascii="方正小标宋简体" w:hAnsi="宋体" w:eastAsia="方正小标宋简体" w:cs="Times New Roman"/>
          <w:bCs/>
          <w:sz w:val="44"/>
          <w:szCs w:val="44"/>
        </w:rPr>
      </w:pPr>
    </w:p>
    <w:p>
      <w:pPr>
        <w:snapToGrid w:val="0"/>
        <w:jc w:val="center"/>
        <w:textAlignment w:val="baseline"/>
        <w:rPr>
          <w:rStyle w:val="18"/>
          <w:rFonts w:ascii="Times New Roman" w:hAnsi="Times New Roman" w:eastAsia="宋体"/>
          <w:b/>
          <w:sz w:val="48"/>
          <w:szCs w:val="20"/>
        </w:rPr>
      </w:pPr>
    </w:p>
    <w:p>
      <w:pPr>
        <w:snapToGrid w:val="0"/>
        <w:jc w:val="center"/>
        <w:textAlignment w:val="baseline"/>
        <w:rPr>
          <w:rStyle w:val="18"/>
          <w:rFonts w:ascii="Times New Roman" w:hAnsi="Times New Roman" w:eastAsia="宋体"/>
          <w:b/>
          <w:sz w:val="48"/>
          <w:szCs w:val="20"/>
        </w:rPr>
      </w:pPr>
    </w:p>
    <w:p>
      <w:pPr>
        <w:snapToGrid w:val="0"/>
        <w:spacing w:line="300" w:lineRule="auto"/>
        <w:jc w:val="center"/>
        <w:textAlignment w:val="baseline"/>
        <w:rPr>
          <w:rStyle w:val="18"/>
          <w:rFonts w:ascii="Times New Roman" w:hAnsi="Times New Roman" w:eastAsia="宋体"/>
          <w:b/>
          <w:szCs w:val="32"/>
        </w:rPr>
      </w:pPr>
    </w:p>
    <w:tbl>
      <w:tblPr>
        <w:tblStyle w:val="9"/>
        <w:tblW w:w="6430"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67"/>
        <w:gridCol w:w="4663"/>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767" w:type="dxa"/>
            <w:vMerge w:val="restart"/>
            <w:tcBorders>
              <w:top w:val="nil"/>
              <w:left w:val="nil"/>
              <w:bottom w:val="single" w:color="000000" w:sz="4" w:space="0"/>
              <w:right w:val="single" w:color="000000" w:sz="4" w:space="0"/>
            </w:tcBorders>
            <w:vAlign w:val="center"/>
          </w:tcPr>
          <w:p>
            <w:pPr>
              <w:snapToGrid w:val="0"/>
              <w:spacing w:line="240" w:lineRule="atLeast"/>
              <w:jc w:val="center"/>
              <w:textAlignment w:val="baseline"/>
              <w:rPr>
                <w:rStyle w:val="18"/>
                <w:rFonts w:ascii="Times New Roman" w:hAnsi="Times New Roman" w:eastAsia="宋体"/>
                <w:b/>
                <w:spacing w:val="-10"/>
                <w:szCs w:val="32"/>
              </w:rPr>
            </w:pPr>
            <w:r>
              <w:rPr>
                <w:rStyle w:val="18"/>
                <w:rFonts w:hint="eastAsia" w:ascii="Times New Roman" w:hAnsi="Times New Roman" w:eastAsia="宋体"/>
                <w:b/>
                <w:spacing w:val="-10"/>
                <w:szCs w:val="32"/>
              </w:rPr>
              <w:t>学院</w:t>
            </w:r>
          </w:p>
          <w:p>
            <w:pPr>
              <w:snapToGrid w:val="0"/>
              <w:spacing w:line="240" w:lineRule="atLeast"/>
              <w:jc w:val="center"/>
              <w:textAlignment w:val="baseline"/>
              <w:rPr>
                <w:rStyle w:val="18"/>
                <w:rFonts w:ascii="Times New Roman" w:hAnsi="Times New Roman" w:eastAsia="宋体"/>
                <w:b/>
                <w:spacing w:val="-10"/>
                <w:szCs w:val="32"/>
              </w:rPr>
            </w:pPr>
            <w:r>
              <w:rPr>
                <w:rStyle w:val="18"/>
                <w:rFonts w:ascii="Times New Roman" w:hAnsi="Times New Roman" w:eastAsia="宋体"/>
                <w:b/>
                <w:spacing w:val="-10"/>
                <w:szCs w:val="32"/>
              </w:rPr>
              <w:t>（公章）</w:t>
            </w:r>
          </w:p>
        </w:tc>
        <w:tc>
          <w:tcPr>
            <w:tcW w:w="4663" w:type="dxa"/>
            <w:tcBorders>
              <w:top w:val="nil"/>
              <w:left w:val="single" w:color="000000" w:sz="4" w:space="0"/>
              <w:bottom w:val="single" w:color="000000" w:sz="4" w:space="0"/>
              <w:right w:val="nil"/>
            </w:tcBorders>
            <w:vAlign w:val="center"/>
          </w:tcPr>
          <w:p>
            <w:pPr>
              <w:snapToGrid w:val="0"/>
              <w:spacing w:line="300" w:lineRule="auto"/>
              <w:textAlignment w:val="baseline"/>
              <w:rPr>
                <w:rStyle w:val="18"/>
                <w:rFonts w:ascii="Times New Roman" w:hAnsi="Times New Roman" w:eastAsia="宋体"/>
                <w:b/>
                <w:spacing w:val="-10"/>
                <w:szCs w:val="32"/>
              </w:rPr>
            </w:pPr>
            <w:r>
              <w:rPr>
                <w:rStyle w:val="18"/>
                <w:rFonts w:hint="eastAsia" w:ascii="Times New Roman" w:hAnsi="Times New Roman" w:eastAsia="宋体"/>
                <w:b/>
                <w:spacing w:val="-10"/>
                <w:szCs w:val="32"/>
              </w:rPr>
              <w:t>学科</w:t>
            </w:r>
            <w:r>
              <w:rPr>
                <w:rStyle w:val="18"/>
                <w:rFonts w:ascii="Times New Roman" w:hAnsi="Times New Roman" w:eastAsia="宋体"/>
                <w:b/>
                <w:spacing w:val="-10"/>
                <w:szCs w:val="32"/>
              </w:rPr>
              <w:t>名称：</w:t>
            </w:r>
            <w:r>
              <w:rPr>
                <w:rStyle w:val="18"/>
                <w:rFonts w:hint="eastAsia" w:ascii="Times New Roman" w:hAnsi="Times New Roman" w:eastAsia="宋体"/>
                <w:b/>
                <w:spacing w:val="-10"/>
                <w:szCs w:val="32"/>
              </w:rPr>
              <w:t>审计</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767" w:type="dxa"/>
            <w:vMerge w:val="continue"/>
            <w:tcBorders>
              <w:top w:val="single" w:color="000000" w:sz="4" w:space="0"/>
              <w:left w:val="nil"/>
              <w:bottom w:val="nil"/>
              <w:right w:val="single" w:color="000000" w:sz="4" w:space="0"/>
            </w:tcBorders>
            <w:vAlign w:val="center"/>
          </w:tcPr>
          <w:p>
            <w:pPr>
              <w:snapToGrid w:val="0"/>
              <w:spacing w:line="300" w:lineRule="auto"/>
              <w:jc w:val="center"/>
              <w:textAlignment w:val="baseline"/>
              <w:rPr>
                <w:rStyle w:val="18"/>
                <w:rFonts w:ascii="Times New Roman" w:hAnsi="Times New Roman" w:eastAsia="宋体"/>
                <w:b/>
                <w:spacing w:val="-10"/>
                <w:szCs w:val="32"/>
              </w:rPr>
            </w:pPr>
          </w:p>
        </w:tc>
        <w:tc>
          <w:tcPr>
            <w:tcW w:w="4663" w:type="dxa"/>
            <w:tcBorders>
              <w:top w:val="single" w:color="000000" w:sz="4" w:space="0"/>
              <w:left w:val="single" w:color="000000" w:sz="4" w:space="0"/>
              <w:bottom w:val="nil"/>
              <w:right w:val="nil"/>
            </w:tcBorders>
            <w:vAlign w:val="center"/>
          </w:tcPr>
          <w:p>
            <w:pPr>
              <w:snapToGrid w:val="0"/>
              <w:spacing w:line="300" w:lineRule="auto"/>
              <w:textAlignment w:val="baseline"/>
              <w:rPr>
                <w:rStyle w:val="18"/>
                <w:rFonts w:ascii="Times New Roman" w:hAnsi="Times New Roman" w:eastAsia="宋体"/>
                <w:b/>
                <w:spacing w:val="-10"/>
                <w:szCs w:val="32"/>
              </w:rPr>
            </w:pPr>
            <w:r>
              <w:rPr>
                <w:rStyle w:val="18"/>
                <w:rFonts w:hint="eastAsia" w:ascii="Times New Roman" w:hAnsi="Times New Roman" w:eastAsia="宋体"/>
                <w:b/>
                <w:spacing w:val="-10"/>
                <w:szCs w:val="32"/>
              </w:rPr>
              <w:t>学科</w:t>
            </w:r>
            <w:r>
              <w:rPr>
                <w:rStyle w:val="18"/>
                <w:rFonts w:ascii="Times New Roman" w:hAnsi="Times New Roman" w:eastAsia="宋体"/>
                <w:b/>
                <w:spacing w:val="-10"/>
                <w:szCs w:val="32"/>
              </w:rPr>
              <w:t>代码：0257</w:t>
            </w:r>
          </w:p>
        </w:tc>
      </w:tr>
    </w:tbl>
    <w:p>
      <w:pPr>
        <w:snapToGrid w:val="0"/>
        <w:spacing w:line="300" w:lineRule="auto"/>
        <w:jc w:val="center"/>
        <w:textAlignment w:val="baseline"/>
        <w:rPr>
          <w:rStyle w:val="18"/>
          <w:rFonts w:ascii="Times New Roman" w:hAnsi="Times New Roman" w:eastAsia="宋体"/>
          <w:b/>
          <w:sz w:val="48"/>
          <w:szCs w:val="20"/>
        </w:rPr>
      </w:pPr>
    </w:p>
    <w:p>
      <w:pPr>
        <w:spacing w:line="560" w:lineRule="exact"/>
        <w:jc w:val="center"/>
        <w:textAlignment w:val="baseline"/>
        <w:rPr>
          <w:rStyle w:val="18"/>
          <w:rFonts w:ascii="Times New Roman" w:hAnsi="Times New Roman" w:eastAsia="楷体_GB2312"/>
          <w:b/>
          <w:sz w:val="30"/>
          <w:szCs w:val="30"/>
        </w:rPr>
      </w:pPr>
    </w:p>
    <w:p>
      <w:pPr>
        <w:pStyle w:val="19"/>
        <w:widowControl/>
        <w:rPr>
          <w:rStyle w:val="18"/>
          <w:rFonts w:ascii="黑体" w:hAnsi="黑体" w:eastAsia="黑体"/>
          <w:color w:val="auto"/>
          <w:szCs w:val="32"/>
        </w:rPr>
      </w:pPr>
    </w:p>
    <w:p>
      <w:pPr>
        <w:rPr>
          <w:rStyle w:val="18"/>
          <w:rFonts w:ascii="黑体" w:hAnsi="黑体" w:eastAsia="黑体"/>
          <w:szCs w:val="32"/>
        </w:rPr>
      </w:pPr>
    </w:p>
    <w:p>
      <w:pPr>
        <w:pStyle w:val="2"/>
        <w:rPr>
          <w:rStyle w:val="18"/>
          <w:rFonts w:ascii="黑体" w:hAnsi="黑体" w:eastAsia="黑体"/>
          <w:color w:val="auto"/>
          <w:szCs w:val="32"/>
        </w:rPr>
      </w:pPr>
    </w:p>
    <w:p/>
    <w:p/>
    <w:p>
      <w:pPr>
        <w:spacing w:line="560" w:lineRule="exact"/>
        <w:jc w:val="center"/>
        <w:textAlignment w:val="baseline"/>
        <w:rPr>
          <w:rStyle w:val="18"/>
          <w:rFonts w:ascii="Times New Roman" w:hAnsi="Times New Roman" w:eastAsia="楷体_GB2312"/>
          <w:b/>
          <w:sz w:val="30"/>
          <w:szCs w:val="30"/>
        </w:rPr>
      </w:pPr>
    </w:p>
    <w:p>
      <w:pPr>
        <w:spacing w:line="560" w:lineRule="exact"/>
        <w:jc w:val="center"/>
        <w:textAlignment w:val="baseline"/>
        <w:rPr>
          <w:rStyle w:val="18"/>
          <w:rFonts w:ascii="黑体" w:hAnsi="黑体" w:eastAsia="黑体"/>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18"/>
          <w:rFonts w:ascii="Times New Roman" w:hAnsi="Times New Roman" w:eastAsia="楷体_GB2312"/>
          <w:b/>
          <w:szCs w:val="32"/>
        </w:rPr>
        <w:t>2021年</w:t>
      </w:r>
      <w:r>
        <w:rPr>
          <w:rStyle w:val="18"/>
          <w:rFonts w:hint="eastAsia" w:ascii="Times New Roman" w:hAnsi="Times New Roman" w:eastAsia="楷体_GB2312"/>
          <w:b/>
          <w:szCs w:val="32"/>
          <w:lang w:val="en-US"/>
        </w:rPr>
        <w:t>3</w:t>
      </w:r>
      <w:r>
        <w:rPr>
          <w:rStyle w:val="18"/>
          <w:rFonts w:ascii="Times New Roman" w:hAnsi="Times New Roman" w:eastAsia="楷体_GB2312"/>
          <w:b/>
          <w:szCs w:val="32"/>
        </w:rPr>
        <w:t>月19日</w:t>
      </w:r>
      <w:bookmarkStart w:id="5" w:name="_GoBack"/>
      <w:bookmarkEnd w:id="5"/>
    </w:p>
    <w:p>
      <w:pPr>
        <w:widowControl/>
        <w:spacing w:line="500" w:lineRule="exact"/>
        <w:ind w:firstLine="723" w:firstLineChars="200"/>
        <w:textAlignment w:val="baseline"/>
        <w:rPr>
          <w:rStyle w:val="18"/>
          <w:rFonts w:ascii="黑体" w:hAnsi="黑体" w:eastAsia="黑体" w:cs="黑体"/>
          <w:b/>
          <w:bCs/>
          <w:sz w:val="36"/>
          <w:szCs w:val="36"/>
        </w:rPr>
      </w:pPr>
      <w:r>
        <w:rPr>
          <w:rStyle w:val="18"/>
          <w:rFonts w:hint="eastAsia" w:ascii="黑体" w:hAnsi="黑体" w:eastAsia="黑体" w:cs="黑体"/>
          <w:b/>
          <w:bCs/>
          <w:sz w:val="36"/>
          <w:szCs w:val="36"/>
        </w:rPr>
        <w:t>一、总体概况</w:t>
      </w:r>
    </w:p>
    <w:p>
      <w:pPr>
        <w:pStyle w:val="2"/>
        <w:spacing w:before="156" w:beforeLines="50" w:after="156" w:afterLines="50" w:line="500" w:lineRule="exact"/>
        <w:rPr>
          <w:rStyle w:val="18"/>
          <w:rFonts w:ascii="方正仿宋简体" w:hAnsi="方正仿宋简体" w:cs="方正仿宋简体"/>
          <w:color w:val="auto"/>
          <w:szCs w:val="32"/>
        </w:rPr>
      </w:pPr>
      <w:r>
        <w:rPr>
          <w:rStyle w:val="18"/>
          <w:rFonts w:hint="eastAsia" w:ascii="方正仿宋简体" w:hAnsi="方正仿宋简体" w:cs="方正仿宋简体"/>
          <w:color w:val="auto"/>
          <w:szCs w:val="32"/>
        </w:rPr>
        <w:t>（一）学位授权点基本情况</w:t>
      </w:r>
    </w:p>
    <w:p>
      <w:pPr>
        <w:pStyle w:val="2"/>
        <w:spacing w:line="500" w:lineRule="exact"/>
        <w:rPr>
          <w:rStyle w:val="18"/>
          <w:rFonts w:ascii="仿宋" w:hAnsi="仿宋" w:eastAsia="仿宋" w:cs="方正仿宋简体"/>
          <w:szCs w:val="32"/>
        </w:rPr>
      </w:pPr>
      <w:r>
        <w:rPr>
          <w:rFonts w:hint="eastAsia" w:ascii="仿宋" w:hAnsi="仿宋" w:eastAsia="仿宋" w:cs="方正仿宋简体"/>
        </w:rPr>
        <w:t>浙江工商大学是全国首批获得审计硕士专业学位授予权的32所院校之一，也是浙江省首批获得审计硕士专业学位授予权的高等院校。浙江工商大学会计学院是首批国家级管理型财会人才培养模式创新实验区、国家级特色专业和国家“十二五”首批专业综合改革试点区，是浙江省最早拥有本科到博士完整审计人才培养体系的单位，所依托的工商管理学科在教育部第四轮学科评估中获B+。</w:t>
      </w:r>
      <w:bookmarkStart w:id="0" w:name="_Hlk92982145"/>
      <w:r>
        <w:rPr>
          <w:rFonts w:hint="eastAsia" w:ascii="仿宋" w:hAnsi="仿宋" w:eastAsia="仿宋" w:cs="方正仿宋简体"/>
        </w:rPr>
        <w:t>本专业学位依托浙江工商大学会计学院</w:t>
      </w:r>
      <w:r>
        <w:rPr>
          <w:rFonts w:ascii="仿宋" w:hAnsi="仿宋" w:eastAsia="仿宋" w:cs="方正仿宋简体"/>
        </w:rPr>
        <w:t>深厚底蕴和</w:t>
      </w:r>
      <w:r>
        <w:rPr>
          <w:rFonts w:hint="eastAsia" w:ascii="仿宋" w:hAnsi="仿宋" w:eastAsia="仿宋" w:cs="方正仿宋简体"/>
        </w:rPr>
        <w:t>特色基础，积极响应新时代下国家和社会需求，同时结合长三角一体化区域经济发展战略发展的实际人才需求，旨在培养具有政治素养、国际视野、创新精神和大数据审计技术的“管理型高级审计人才”。</w:t>
      </w:r>
      <w:bookmarkEnd w:id="0"/>
    </w:p>
    <w:p>
      <w:pPr>
        <w:pStyle w:val="2"/>
        <w:spacing w:before="156" w:beforeLines="50" w:after="156" w:afterLines="50" w:line="500" w:lineRule="exact"/>
        <w:rPr>
          <w:rStyle w:val="18"/>
          <w:rFonts w:ascii="方正仿宋简体" w:hAnsi="方正仿宋简体" w:cs="方正仿宋简体"/>
          <w:color w:val="auto"/>
          <w:szCs w:val="32"/>
        </w:rPr>
      </w:pPr>
      <w:r>
        <w:rPr>
          <w:rStyle w:val="18"/>
          <w:rFonts w:hint="eastAsia" w:ascii="方正仿宋简体" w:hAnsi="方正仿宋简体" w:cs="方正仿宋简体"/>
          <w:color w:val="auto"/>
          <w:szCs w:val="32"/>
        </w:rPr>
        <w:t>（二）学科建设情况</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本专业学位立足习近平总书记赋予浙江建设“重要窗口”的新目标、新使命，积极落实“坚持把立德树人成效作为根本标准”、“落实改革学生评价，促进德智体美劳全面发展”，</w:t>
      </w:r>
      <w:r>
        <w:rPr>
          <w:rFonts w:hint="eastAsia" w:ascii="仿宋" w:hAnsi="仿宋" w:eastAsia="仿宋" w:cs="方正仿宋简体"/>
        </w:rPr>
        <w:t>专业实力在浙江省属高校中占据领先地位。本专业学位2020年入选国家级一流专业建设点；2016-2019年武书连专业排名一直是A+级专业，四年均为省属高校第一，连续三年为全国第三；邱均平（中国科教网）专业排名2018-2021四年内从（五星-）提升为（五星）专业</w:t>
      </w:r>
      <w:r>
        <w:rPr>
          <w:rStyle w:val="18"/>
          <w:rFonts w:hint="eastAsia" w:ascii="仿宋" w:hAnsi="仿宋" w:eastAsia="仿宋" w:cs="方正仿宋简体"/>
          <w:szCs w:val="32"/>
        </w:rPr>
        <w:t>；2</w:t>
      </w:r>
      <w:r>
        <w:rPr>
          <w:rStyle w:val="18"/>
          <w:rFonts w:ascii="仿宋" w:hAnsi="仿宋" w:eastAsia="仿宋" w:cs="方正仿宋简体"/>
          <w:szCs w:val="32"/>
        </w:rPr>
        <w:t>020</w:t>
      </w:r>
      <w:r>
        <w:rPr>
          <w:rStyle w:val="18"/>
          <w:rFonts w:hint="eastAsia" w:ascii="仿宋" w:hAnsi="仿宋" w:eastAsia="仿宋" w:cs="方正仿宋简体"/>
          <w:szCs w:val="32"/>
        </w:rPr>
        <w:t>年参加教育部学位与研究生教育发展中心水平评估。</w:t>
      </w:r>
    </w:p>
    <w:p>
      <w:pPr>
        <w:pStyle w:val="2"/>
        <w:spacing w:before="156" w:beforeLines="50" w:after="156" w:afterLines="50" w:line="500" w:lineRule="exact"/>
        <w:rPr>
          <w:rStyle w:val="18"/>
          <w:rFonts w:ascii="方正仿宋简体" w:hAnsi="方正仿宋简体" w:cs="方正仿宋简体"/>
          <w:color w:val="auto"/>
          <w:szCs w:val="32"/>
        </w:rPr>
      </w:pPr>
      <w:r>
        <w:rPr>
          <w:rStyle w:val="18"/>
          <w:rFonts w:hint="eastAsia" w:ascii="方正仿宋简体" w:hAnsi="方正仿宋简体" w:cs="方正仿宋简体"/>
          <w:color w:val="auto"/>
          <w:szCs w:val="32"/>
        </w:rPr>
        <w:t>（三）研究生招生情况</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学位点自</w:t>
      </w:r>
      <w:r>
        <w:rPr>
          <w:rStyle w:val="18"/>
          <w:rFonts w:ascii="仿宋" w:hAnsi="仿宋" w:eastAsia="仿宋" w:cs="方正仿宋简体"/>
          <w:szCs w:val="32"/>
        </w:rPr>
        <w:t>2013</w:t>
      </w:r>
      <w:r>
        <w:rPr>
          <w:rStyle w:val="18"/>
          <w:rFonts w:hint="eastAsia" w:ascii="仿宋" w:hAnsi="仿宋" w:eastAsia="仿宋" w:cs="方正仿宋简体"/>
          <w:szCs w:val="32"/>
        </w:rPr>
        <w:t>年获硕士学位授予权以来，招生人数总体保持递增趋势。2020年，审计专业硕士研究生招生人数为2</w:t>
      </w:r>
      <w:r>
        <w:rPr>
          <w:rStyle w:val="18"/>
          <w:rFonts w:ascii="仿宋" w:hAnsi="仿宋" w:eastAsia="仿宋" w:cs="方正仿宋简体"/>
          <w:szCs w:val="32"/>
        </w:rPr>
        <w:t>1</w:t>
      </w:r>
      <w:r>
        <w:rPr>
          <w:rStyle w:val="18"/>
          <w:rFonts w:hint="eastAsia" w:ascii="仿宋" w:hAnsi="仿宋" w:eastAsia="仿宋" w:cs="方正仿宋简体"/>
          <w:szCs w:val="32"/>
        </w:rPr>
        <w:t>人。</w:t>
      </w:r>
      <w:bookmarkStart w:id="1" w:name="_Hlk76070569"/>
      <w:r>
        <w:rPr>
          <w:rStyle w:val="18"/>
          <w:rFonts w:hint="eastAsia" w:ascii="仿宋" w:hAnsi="仿宋" w:eastAsia="仿宋" w:cs="方正仿宋简体"/>
          <w:szCs w:val="32"/>
        </w:rPr>
        <w:t>录取分数线在2</w:t>
      </w:r>
      <w:r>
        <w:rPr>
          <w:rStyle w:val="18"/>
          <w:rFonts w:ascii="仿宋" w:hAnsi="仿宋" w:eastAsia="仿宋" w:cs="方正仿宋简体"/>
          <w:szCs w:val="32"/>
        </w:rPr>
        <w:t>26</w:t>
      </w:r>
      <w:r>
        <w:rPr>
          <w:rStyle w:val="18"/>
          <w:rFonts w:hint="eastAsia" w:ascii="仿宋" w:hAnsi="仿宋" w:eastAsia="仿宋" w:cs="方正仿宋简体"/>
          <w:szCs w:val="32"/>
        </w:rPr>
        <w:t>分，</w:t>
      </w:r>
      <w:bookmarkEnd w:id="1"/>
      <w:r>
        <w:rPr>
          <w:rStyle w:val="18"/>
          <w:rFonts w:hint="eastAsia" w:ascii="仿宋" w:hAnsi="仿宋" w:eastAsia="仿宋" w:cs="方正仿宋简体"/>
          <w:szCs w:val="32"/>
        </w:rPr>
        <w:t>一志愿录取率100%。</w:t>
      </w:r>
    </w:p>
    <w:p>
      <w:pPr>
        <w:pStyle w:val="2"/>
        <w:spacing w:before="156" w:beforeLines="50" w:after="156" w:afterLines="50" w:line="500" w:lineRule="exact"/>
        <w:rPr>
          <w:rStyle w:val="18"/>
          <w:rFonts w:ascii="方正仿宋简体" w:hAnsi="方正仿宋简体" w:cs="方正仿宋简体"/>
          <w:color w:val="auto"/>
          <w:szCs w:val="32"/>
        </w:rPr>
      </w:pPr>
      <w:r>
        <w:rPr>
          <w:rStyle w:val="18"/>
          <w:rFonts w:hint="eastAsia" w:ascii="方正仿宋简体" w:hAnsi="方正仿宋简体" w:cs="方正仿宋简体"/>
          <w:color w:val="auto"/>
          <w:szCs w:val="32"/>
        </w:rPr>
        <w:t>（四）在读、毕业、学位授予及就业基本状况</w:t>
      </w:r>
    </w:p>
    <w:p>
      <w:pPr>
        <w:pStyle w:val="2"/>
        <w:spacing w:line="500" w:lineRule="exact"/>
        <w:rPr>
          <w:rStyle w:val="18"/>
          <w:rFonts w:ascii="仿宋" w:hAnsi="仿宋" w:eastAsia="仿宋" w:cs="方正仿宋简体"/>
          <w:szCs w:val="32"/>
        </w:rPr>
      </w:pPr>
      <w:bookmarkStart w:id="2" w:name="_Hlk76070589"/>
      <w:r>
        <w:rPr>
          <w:rStyle w:val="18"/>
          <w:rFonts w:hint="eastAsia" w:ascii="仿宋" w:hAnsi="仿宋" w:eastAsia="仿宋" w:cs="方正仿宋简体"/>
          <w:szCs w:val="32"/>
        </w:rPr>
        <w:t>2020年审计专业硕士在读生6</w:t>
      </w:r>
      <w:r>
        <w:rPr>
          <w:rStyle w:val="18"/>
          <w:rFonts w:ascii="仿宋" w:hAnsi="仿宋" w:eastAsia="仿宋" w:cs="方正仿宋简体"/>
          <w:szCs w:val="32"/>
        </w:rPr>
        <w:t>6</w:t>
      </w:r>
      <w:r>
        <w:rPr>
          <w:rStyle w:val="18"/>
          <w:rFonts w:hint="eastAsia" w:ascii="仿宋" w:hAnsi="仿宋" w:eastAsia="仿宋" w:cs="方正仿宋简体"/>
          <w:szCs w:val="32"/>
        </w:rPr>
        <w:t>人，2</w:t>
      </w:r>
      <w:r>
        <w:rPr>
          <w:rStyle w:val="18"/>
          <w:rFonts w:ascii="仿宋" w:hAnsi="仿宋" w:eastAsia="仿宋" w:cs="方正仿宋简体"/>
          <w:szCs w:val="32"/>
        </w:rPr>
        <w:t>020</w:t>
      </w:r>
      <w:r>
        <w:rPr>
          <w:rStyle w:val="18"/>
          <w:rFonts w:hint="eastAsia" w:ascii="仿宋" w:hAnsi="仿宋" w:eastAsia="仿宋" w:cs="方正仿宋简体"/>
          <w:szCs w:val="32"/>
        </w:rPr>
        <w:t>年毕业生2</w:t>
      </w:r>
      <w:r>
        <w:rPr>
          <w:rStyle w:val="18"/>
          <w:rFonts w:ascii="仿宋" w:hAnsi="仿宋" w:eastAsia="仿宋" w:cs="方正仿宋简体"/>
          <w:szCs w:val="32"/>
        </w:rPr>
        <w:t>7</w:t>
      </w:r>
      <w:r>
        <w:rPr>
          <w:rStyle w:val="18"/>
          <w:rFonts w:hint="eastAsia" w:ascii="仿宋" w:hAnsi="仿宋" w:eastAsia="仿宋" w:cs="方正仿宋简体"/>
          <w:szCs w:val="32"/>
        </w:rPr>
        <w:t>人、授予学位2</w:t>
      </w:r>
      <w:r>
        <w:rPr>
          <w:rStyle w:val="18"/>
          <w:rFonts w:ascii="仿宋" w:hAnsi="仿宋" w:eastAsia="仿宋" w:cs="方正仿宋简体"/>
          <w:szCs w:val="32"/>
        </w:rPr>
        <w:t>7</w:t>
      </w:r>
      <w:r>
        <w:rPr>
          <w:rStyle w:val="18"/>
          <w:rFonts w:hint="eastAsia" w:ascii="仿宋" w:hAnsi="仿宋" w:eastAsia="仿宋" w:cs="方正仿宋简体"/>
          <w:szCs w:val="32"/>
        </w:rPr>
        <w:t>人。</w:t>
      </w:r>
      <w:bookmarkEnd w:id="2"/>
      <w:r>
        <w:rPr>
          <w:rStyle w:val="18"/>
          <w:rFonts w:hint="eastAsia" w:ascii="仿宋" w:hAnsi="仿宋" w:eastAsia="仿宋" w:cs="方正仿宋简体"/>
          <w:szCs w:val="32"/>
        </w:rPr>
        <w:t>所有毕业生均已就业，就业去向多样，包括政府部门、金融业、事务所和大中型企业等。其中，在近5年毕业生中，20%进入百强事务所和政府部门，58.7%进入大中型企业。</w:t>
      </w:r>
    </w:p>
    <w:p>
      <w:pPr>
        <w:ind w:firstLine="640" w:firstLineChars="200"/>
        <w:rPr>
          <w:rStyle w:val="18"/>
          <w:rFonts w:ascii="黑体" w:hAnsi="黑体" w:eastAsia="黑体" w:cs="方正仿宋简体"/>
          <w:szCs w:val="32"/>
        </w:rPr>
      </w:pPr>
      <w:r>
        <w:rPr>
          <w:rStyle w:val="18"/>
          <w:rFonts w:hint="eastAsia" w:ascii="黑体" w:hAnsi="黑体" w:eastAsia="黑体" w:cs="方正仿宋简体"/>
          <w:szCs w:val="32"/>
        </w:rPr>
        <w:t>（五）研究生导师状况</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本专业学位现有博士生导师5人，硕士生导师40人，其中教授16人，副教授26人，具有博士学位的专任教师41人。与天健、立信、信永中和等会计师事务所、企事业单位合作建立基地或签订战略合作协议，拥有34位校外师资，其中实务导师31位，名校客座教授3位。</w:t>
      </w:r>
    </w:p>
    <w:p>
      <w:pPr>
        <w:ind w:firstLine="640" w:firstLineChars="200"/>
        <w:rPr>
          <w:rStyle w:val="18"/>
          <w:rFonts w:ascii="黑体" w:hAnsi="黑体" w:eastAsia="黑体" w:cs="黑体"/>
          <w:szCs w:val="32"/>
        </w:rPr>
      </w:pPr>
      <w:r>
        <w:rPr>
          <w:rStyle w:val="18"/>
          <w:rFonts w:hint="eastAsia" w:ascii="黑体" w:hAnsi="黑体" w:eastAsia="黑体" w:cs="黑体"/>
          <w:szCs w:val="32"/>
        </w:rPr>
        <w:t>二、研究生党建与思想政治教育工作</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（一）思想政治教育队伍建设</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2</w:t>
      </w:r>
      <w:r>
        <w:rPr>
          <w:rStyle w:val="18"/>
          <w:rFonts w:ascii="仿宋" w:hAnsi="仿宋" w:eastAsia="仿宋" w:cs="方正仿宋简体"/>
          <w:szCs w:val="32"/>
        </w:rPr>
        <w:t>020</w:t>
      </w:r>
      <w:r>
        <w:rPr>
          <w:rStyle w:val="18"/>
          <w:rFonts w:hint="eastAsia" w:ascii="仿宋" w:hAnsi="仿宋" w:eastAsia="仿宋" w:cs="方正仿宋简体"/>
          <w:szCs w:val="32"/>
        </w:rPr>
        <w:t>年度，学位点积极推进“专硕导师—授课教师—实务导师—辅导员”四位一体的思政队伍建设，</w:t>
      </w:r>
      <w:r>
        <w:rPr>
          <w:rFonts w:hint="eastAsia" w:ascii="仿宋" w:hAnsi="仿宋" w:eastAsia="仿宋" w:cs="方正仿宋简体"/>
        </w:rPr>
        <w:t>把思想政治教育队伍建设作为基础工作，努力打造政治素质过硬、业务能力精湛、育人水平高超的高素质思政教育队伍，</w:t>
      </w:r>
      <w:r>
        <w:rPr>
          <w:rStyle w:val="18"/>
          <w:rFonts w:hint="eastAsia" w:ascii="仿宋" w:hAnsi="仿宋" w:eastAsia="仿宋" w:cs="方正仿宋简体"/>
          <w:szCs w:val="32"/>
        </w:rPr>
        <w:t>效果显著。近五年，学位点教师分别荣获浙江省万名好党员、全国内部审计先进工作者、浙江省内部审计十佳先进工作者以及浙江省“新时代千名好支书”等荣誉称号，另有1名辅导员入选浙江省首届名师辅导员引领计划；学位点所在学院的心理辅导站连续4年（2017年-2020年）被评为优秀心理辅导站；此外，本学位点研究生多名同学获得“浙江省优秀毕业生”荣誉称号。</w:t>
      </w:r>
    </w:p>
    <w:p>
      <w:pPr>
        <w:ind w:firstLine="640" w:firstLineChars="200"/>
        <w:rPr>
          <w:rStyle w:val="18"/>
          <w:rFonts w:ascii="黑体" w:hAnsi="黑体" w:eastAsia="黑体" w:cs="方正仿宋简体"/>
          <w:szCs w:val="32"/>
        </w:rPr>
      </w:pPr>
      <w:r>
        <w:rPr>
          <w:rStyle w:val="18"/>
          <w:rFonts w:hint="eastAsia" w:ascii="黑体" w:hAnsi="黑体" w:eastAsia="黑体" w:cs="方正仿宋简体"/>
          <w:szCs w:val="32"/>
        </w:rPr>
        <w:t>（二）理想信念和社会主义核心价值观教育</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2</w:t>
      </w:r>
      <w:r>
        <w:rPr>
          <w:rStyle w:val="18"/>
          <w:rFonts w:ascii="仿宋" w:hAnsi="仿宋" w:eastAsia="仿宋" w:cs="方正仿宋简体"/>
          <w:szCs w:val="32"/>
        </w:rPr>
        <w:t>020</w:t>
      </w:r>
      <w:r>
        <w:rPr>
          <w:rStyle w:val="18"/>
          <w:rFonts w:hint="eastAsia" w:ascii="仿宋" w:hAnsi="仿宋" w:eastAsia="仿宋" w:cs="方正仿宋简体"/>
          <w:szCs w:val="32"/>
        </w:rPr>
        <w:t>年度，本学位点全面贯彻落实习近平总书记在中央审计委员会上提出的要求：“以审计精神立身、以创新规范立业、以自身建设立信”，以国家审计人员职业道德规范、内部审计人员职业道德规范、注册会计师职业道德规范为准绳，从个人品德、职业价值观、职业操守和行业规范等四个方面加强本专业硕士研究生理想信念和社会主义核心价值观教育。</w:t>
      </w:r>
    </w:p>
    <w:p>
      <w:pPr>
        <w:pStyle w:val="2"/>
        <w:spacing w:line="500" w:lineRule="exact"/>
        <w:rPr>
          <w:rFonts w:ascii="仿宋" w:hAnsi="仿宋" w:eastAsia="仿宋" w:cs="方正仿宋简体"/>
        </w:rPr>
      </w:pPr>
      <w:r>
        <w:rPr>
          <w:rStyle w:val="18"/>
          <w:rFonts w:hint="eastAsia" w:ascii="仿宋" w:hAnsi="仿宋" w:eastAsia="仿宋" w:cs="方正仿宋简体"/>
          <w:szCs w:val="32"/>
        </w:rPr>
        <w:t>在个人品德教育方面，学位点将</w:t>
      </w:r>
      <w:r>
        <w:rPr>
          <w:rFonts w:hint="eastAsia" w:ascii="仿宋" w:hAnsi="仿宋" w:eastAsia="仿宋" w:cs="方正仿宋简体"/>
        </w:rPr>
        <w:t>爱国奉献，明礼遵规，自强自律等个人品德要求融入《审计理论与实务》、《会计理论与实务》等系列主干课程教学中，提升学生个人品德修养水平，</w:t>
      </w:r>
      <w:r>
        <w:rPr>
          <w:rStyle w:val="18"/>
          <w:rFonts w:hint="eastAsia" w:ascii="仿宋" w:hAnsi="仿宋" w:eastAsia="仿宋" w:cs="方正仿宋简体"/>
          <w:szCs w:val="32"/>
        </w:rPr>
        <w:t>并带领研究生参观浙商博物馆，通过沉浸式体验，感悟浙商“义利并举”的家国情怀。</w:t>
      </w:r>
    </w:p>
    <w:p>
      <w:pPr>
        <w:pStyle w:val="2"/>
        <w:spacing w:line="500" w:lineRule="exact"/>
        <w:rPr>
          <w:rStyle w:val="18"/>
          <w:rFonts w:ascii="仿宋" w:hAnsi="仿宋" w:eastAsia="仿宋" w:cs="方正仿宋简体"/>
          <w:szCs w:val="32"/>
        </w:rPr>
      </w:pPr>
      <w:bookmarkStart w:id="3" w:name="OLE_LINK2"/>
      <w:r>
        <w:rPr>
          <w:rStyle w:val="18"/>
          <w:rFonts w:hint="eastAsia" w:ascii="仿宋" w:hAnsi="仿宋" w:eastAsia="仿宋" w:cs="方正仿宋简体"/>
          <w:szCs w:val="32"/>
        </w:rPr>
        <w:t>在</w:t>
      </w:r>
      <w:bookmarkEnd w:id="3"/>
      <w:r>
        <w:rPr>
          <w:rStyle w:val="18"/>
          <w:rFonts w:hint="eastAsia" w:ascii="仿宋" w:hAnsi="仿宋" w:eastAsia="仿宋" w:cs="方正仿宋简体"/>
          <w:szCs w:val="32"/>
        </w:rPr>
        <w:t>职业价值观教育方面，学位点开设《商业伦理与会计职业道德》专业基础课，开展“诚信为本，操守为重”的职业道德教育，持续强化学生的职业道德教育，全面持续提升学生职业道德水平。</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在职业操守教育方面，通过开展实务导师进课堂系列活动，让各行各业的实务导师现身说法，以自身经历与经验，说明职业操守在个人职业生涯中的根本作用，通过言传身教，强化职业操守。</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在行业规范教育方面，以“诚信、独立、客观、保密、勤勉”的行业规范约束学生，通过实习考核制度，在专业实践中强化学生自觉践行审计行业职业规范意识。</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在已毕业的研究生中，没有因职业道德问题受到证监会、银保监会、中国注册会计师协会的处罚；其中，共21人次获优秀共产党员、优秀文化专员、优秀员工等荣誉称号。</w:t>
      </w:r>
    </w:p>
    <w:p>
      <w:pPr>
        <w:ind w:firstLine="640" w:firstLineChars="200"/>
        <w:rPr>
          <w:rStyle w:val="18"/>
          <w:rFonts w:ascii="黑体" w:hAnsi="黑体" w:eastAsia="黑体" w:cs="方正仿宋简体"/>
          <w:szCs w:val="32"/>
        </w:rPr>
      </w:pPr>
      <w:r>
        <w:rPr>
          <w:rStyle w:val="18"/>
          <w:rFonts w:hint="eastAsia" w:ascii="黑体" w:hAnsi="黑体" w:eastAsia="黑体" w:cs="方正仿宋简体"/>
          <w:szCs w:val="32"/>
        </w:rPr>
        <w:t>（三）学位点文化建设</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2</w:t>
      </w:r>
      <w:r>
        <w:rPr>
          <w:rStyle w:val="18"/>
          <w:rFonts w:ascii="仿宋" w:hAnsi="仿宋" w:eastAsia="仿宋" w:cs="方正仿宋简体"/>
          <w:szCs w:val="32"/>
        </w:rPr>
        <w:t>020</w:t>
      </w:r>
      <w:r>
        <w:rPr>
          <w:rStyle w:val="18"/>
          <w:rFonts w:hint="eastAsia" w:ascii="仿宋" w:hAnsi="仿宋" w:eastAsia="仿宋" w:cs="方正仿宋简体"/>
          <w:szCs w:val="32"/>
        </w:rPr>
        <w:t>年度，本专业学位点以习近平新时代中国特色社会主义思想为指引，认真落实立德树人根本任务，严格执行《浙江工商大学“三全育人”综合改革建设方案》，构建了“大商科”文化体系。</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1</w:t>
      </w:r>
      <w:r>
        <w:rPr>
          <w:rStyle w:val="18"/>
          <w:rFonts w:ascii="仿宋" w:hAnsi="仿宋" w:eastAsia="仿宋" w:cs="方正仿宋简体"/>
          <w:szCs w:val="32"/>
        </w:rPr>
        <w:t>.</w:t>
      </w:r>
      <w:r>
        <w:rPr>
          <w:rStyle w:val="18"/>
          <w:rFonts w:hint="eastAsia" w:ascii="仿宋" w:hAnsi="仿宋" w:eastAsia="仿宋" w:cs="方正仿宋简体"/>
          <w:szCs w:val="32"/>
        </w:rPr>
        <w:t>持续深化课程思政工程，提升人才培养的政治站位。本专业学位点充分发挥专业课程的育人功能，深度挖掘提炼专业知识体系中所蕴含的思想价值和精神内涵，开展管理型高级审计人才培养的课程思政体系研究，积极建设课程思政示范课程，有计划推进专业课程思政全覆盖。</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2</w:t>
      </w:r>
      <w:r>
        <w:rPr>
          <w:rStyle w:val="18"/>
          <w:rFonts w:ascii="仿宋" w:hAnsi="仿宋" w:eastAsia="仿宋" w:cs="方正仿宋简体"/>
          <w:szCs w:val="32"/>
        </w:rPr>
        <w:t>.</w:t>
      </w:r>
      <w:r>
        <w:rPr>
          <w:rStyle w:val="18"/>
          <w:rFonts w:hint="eastAsia" w:ascii="仿宋" w:hAnsi="仿宋" w:eastAsia="仿宋" w:cs="方正仿宋简体"/>
          <w:szCs w:val="32"/>
        </w:rPr>
        <w:t>积极开展基层融合式党建，加强意识形态阵地管理。在校院两级党委领导下，本专业学位点积极推动教工审计支部与研究生审计支部党建联动，党建工作与教学科研、学习等有机结合，增强党支部服务专业学位发展的能力；落实教工支部书记“双带头人”制度，提升支部委员党务和业务能力；对标对表开展党支部标准化建设，创建了 “学生科技创新能力提升计划”、“职业生涯引领工程”等党建育人服务品牌，不断提升党支部建设水平。</w:t>
      </w:r>
    </w:p>
    <w:p>
      <w:pPr>
        <w:ind w:firstLine="640" w:firstLineChars="200"/>
        <w:rPr>
          <w:rStyle w:val="18"/>
          <w:rFonts w:ascii="黑体" w:hAnsi="黑体" w:eastAsia="黑体" w:cs="方正仿宋简体"/>
          <w:szCs w:val="32"/>
        </w:rPr>
      </w:pPr>
      <w:r>
        <w:rPr>
          <w:rStyle w:val="18"/>
          <w:rFonts w:hint="eastAsia" w:ascii="黑体" w:hAnsi="黑体" w:eastAsia="黑体" w:cs="方正仿宋简体"/>
          <w:szCs w:val="32"/>
        </w:rPr>
        <w:t>（四）日常管理服务工作</w:t>
      </w:r>
    </w:p>
    <w:p>
      <w:pPr>
        <w:pStyle w:val="2"/>
        <w:spacing w:line="500" w:lineRule="exact"/>
        <w:rPr>
          <w:rFonts w:ascii="仿宋" w:hAnsi="仿宋" w:eastAsia="仿宋" w:cs="方正仿宋简体"/>
        </w:rPr>
      </w:pPr>
      <w:r>
        <w:rPr>
          <w:rFonts w:hint="eastAsia" w:ascii="仿宋" w:hAnsi="仿宋" w:eastAsia="仿宋" w:cs="方正仿宋简体"/>
        </w:rPr>
        <w:t>本学位点的管理和服务由专业学位教育中心负责，中心配备专职管理人员</w:t>
      </w:r>
      <w:r>
        <w:rPr>
          <w:rFonts w:ascii="仿宋" w:hAnsi="仿宋" w:eastAsia="仿宋" w:cs="方正仿宋简体"/>
        </w:rPr>
        <w:t>，</w:t>
      </w:r>
      <w:r>
        <w:rPr>
          <w:rFonts w:hint="eastAsia" w:ascii="仿宋" w:hAnsi="仿宋" w:eastAsia="仿宋" w:cs="方正仿宋简体"/>
        </w:rPr>
        <w:t>具体包括招生主管、教学主管、学术主管、项目秘书以及专职辅导员等，其中各个主管分别负责职责内各项工作的总流程，项目秘书负责教学科研管理等具体工作，专职辅导员负责学生日常管理与服务等工作。</w:t>
      </w:r>
    </w:p>
    <w:p>
      <w:pPr>
        <w:pStyle w:val="2"/>
        <w:ind w:firstLine="0" w:firstLineChars="0"/>
      </w:pPr>
      <w:r>
        <w:drawing>
          <wp:anchor distT="0" distB="0" distL="114300" distR="114300" simplePos="0" relativeHeight="251661312" behindDoc="0" locked="0" layoutInCell="1" allowOverlap="1">
            <wp:simplePos x="0" y="0"/>
            <wp:positionH relativeFrom="column">
              <wp:posOffset>107950</wp:posOffset>
            </wp:positionH>
            <wp:positionV relativeFrom="paragraph">
              <wp:posOffset>260350</wp:posOffset>
            </wp:positionV>
            <wp:extent cx="5143500" cy="2530475"/>
            <wp:effectExtent l="0" t="0" r="0" b="3175"/>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43500" cy="2530475"/>
                    </a:xfrm>
                    <a:prstGeom prst="rect">
                      <a:avLst/>
                    </a:prstGeom>
                    <a:noFill/>
                  </pic:spPr>
                </pic:pic>
              </a:graphicData>
            </a:graphic>
          </wp:anchor>
        </w:drawing>
      </w:r>
    </w:p>
    <w:p>
      <w:pPr>
        <w:pStyle w:val="2"/>
        <w:spacing w:line="500" w:lineRule="exact"/>
      </w:pPr>
      <w:r>
        <w:rPr>
          <w:rFonts w:hint="eastAsia" w:ascii="仿宋" w:hAnsi="仿宋" w:eastAsia="仿宋" w:cs="方正仿宋简体"/>
        </w:rPr>
        <w:t>为保障研究生权益，及时反映研究生各方面权益诉求，学位点积极搭建和完善研究生常态化反馈机制。学位点每学期期中集中举办研究生座谈会，就研究生群体切身利益诉求开展专项调研，对一些比较集中的问题在学院党政联席会议专项讨论，尽可能予以及时解决，较好地解决了教学管理工作中存在的一些问题，进一步提升了工作质量。另外，学院设立研究生会，该组织作为学院与广大研究生之间的桥梁纽带，在院团委的组织领导下合理有序地表达和维护研究生正当权益，助推研究生成长。近年来，在校研究生对学院在教学科研、平台搭建以及服务保障等各方面给予高度认可。</w:t>
      </w:r>
    </w:p>
    <w:p>
      <w:pPr>
        <w:pStyle w:val="2"/>
        <w:spacing w:before="156" w:beforeLines="50" w:after="156" w:afterLines="50" w:line="500" w:lineRule="exact"/>
        <w:rPr>
          <w:rStyle w:val="18"/>
          <w:rFonts w:ascii="方正仿宋简体" w:hAnsi="方正仿宋简体" w:cs="方正仿宋简体"/>
          <w:color w:val="auto"/>
          <w:szCs w:val="32"/>
        </w:rPr>
      </w:pPr>
      <w:r>
        <w:rPr>
          <w:rStyle w:val="18"/>
          <w:rFonts w:hint="eastAsia" w:ascii="仿宋" w:hAnsi="仿宋" w:eastAsia="仿宋" w:cs="方正仿宋简体"/>
          <w:szCs w:val="32"/>
        </w:rPr>
        <w:t xml:space="preserve"> </w:t>
      </w:r>
      <w:r>
        <w:rPr>
          <w:rStyle w:val="18"/>
          <w:rFonts w:hint="eastAsia" w:ascii="方正仿宋简体" w:hAnsi="方正仿宋简体" w:cs="方正仿宋简体"/>
          <w:color w:val="auto"/>
          <w:szCs w:val="32"/>
        </w:rPr>
        <w:t>二、研究生培养相关制度及执行情况</w:t>
      </w:r>
    </w:p>
    <w:p>
      <w:pPr>
        <w:pStyle w:val="2"/>
        <w:spacing w:before="156" w:beforeLines="50" w:after="156" w:afterLines="50" w:line="500" w:lineRule="exact"/>
        <w:rPr>
          <w:rStyle w:val="18"/>
          <w:rFonts w:ascii="方正仿宋简体" w:hAnsi="方正仿宋简体" w:cs="方正仿宋简体"/>
          <w:color w:val="auto"/>
          <w:szCs w:val="32"/>
        </w:rPr>
      </w:pPr>
      <w:r>
        <w:rPr>
          <w:rStyle w:val="18"/>
          <w:rFonts w:ascii="方正仿宋简体" w:hAnsi="方正仿宋简体" w:cs="方正仿宋简体"/>
          <w:color w:val="auto"/>
          <w:szCs w:val="32"/>
        </w:rPr>
        <w:t>（</w:t>
      </w:r>
      <w:r>
        <w:rPr>
          <w:rStyle w:val="18"/>
          <w:rFonts w:hint="eastAsia" w:ascii="方正仿宋简体" w:hAnsi="方正仿宋简体" w:cs="方正仿宋简体"/>
          <w:color w:val="auto"/>
          <w:szCs w:val="32"/>
        </w:rPr>
        <w:t>一</w:t>
      </w:r>
      <w:r>
        <w:rPr>
          <w:rStyle w:val="18"/>
          <w:rFonts w:ascii="方正仿宋简体" w:hAnsi="方正仿宋简体" w:cs="方正仿宋简体"/>
          <w:color w:val="auto"/>
          <w:szCs w:val="32"/>
        </w:rPr>
        <w:t>）</w:t>
      </w:r>
      <w:r>
        <w:rPr>
          <w:rStyle w:val="18"/>
          <w:rFonts w:hint="eastAsia" w:ascii="方正仿宋简体" w:hAnsi="方正仿宋简体" w:cs="方正仿宋简体"/>
          <w:color w:val="auto"/>
          <w:szCs w:val="32"/>
        </w:rPr>
        <w:t>课程建设与实施情况</w:t>
      </w:r>
    </w:p>
    <w:p>
      <w:pPr>
        <w:pStyle w:val="2"/>
        <w:spacing w:line="500" w:lineRule="exact"/>
        <w:rPr>
          <w:rFonts w:ascii="仿宋" w:hAnsi="仿宋" w:eastAsia="仿宋"/>
        </w:rPr>
      </w:pPr>
      <w:r>
        <w:rPr>
          <w:rFonts w:hint="eastAsia" w:ascii="仿宋" w:hAnsi="仿宋" w:eastAsia="仿宋"/>
        </w:rPr>
        <w:t>学位点立足经济社会发展需求和人才培养目标，优化课程体系，加强课程建设。课程建设以培养学生</w:t>
      </w:r>
      <w:r>
        <w:rPr>
          <w:rFonts w:ascii="仿宋" w:hAnsi="仿宋" w:eastAsia="仿宋"/>
        </w:rPr>
        <w:t>解决复杂问题的综合能力和高级思维</w:t>
      </w:r>
      <w:r>
        <w:rPr>
          <w:rFonts w:hint="eastAsia" w:ascii="仿宋" w:hAnsi="仿宋" w:eastAsia="仿宋"/>
        </w:rPr>
        <w:t>为基本原则。</w:t>
      </w:r>
      <w:r>
        <w:rPr>
          <w:rFonts w:ascii="仿宋" w:hAnsi="仿宋" w:eastAsia="仿宋"/>
        </w:rPr>
        <w:t>课程内容强调广度和深度，</w:t>
      </w:r>
      <w:r>
        <w:rPr>
          <w:rFonts w:hint="eastAsia" w:ascii="仿宋" w:hAnsi="仿宋" w:eastAsia="仿宋"/>
        </w:rPr>
        <w:t>帮助学生将知识、能力和素质有机融合，</w:t>
      </w:r>
      <w:r>
        <w:rPr>
          <w:rFonts w:ascii="仿宋" w:hAnsi="仿宋" w:eastAsia="仿宋"/>
        </w:rPr>
        <w:t>培养学生深度分析</w:t>
      </w:r>
      <w:r>
        <w:rPr>
          <w:rFonts w:hint="eastAsia" w:ascii="仿宋" w:hAnsi="仿宋" w:eastAsia="仿宋"/>
        </w:rPr>
        <w:t>能力。课程教学方法强调</w:t>
      </w:r>
      <w:r>
        <w:rPr>
          <w:rFonts w:ascii="仿宋" w:hAnsi="仿宋" w:eastAsia="仿宋"/>
        </w:rPr>
        <w:t>先进性与互动性</w:t>
      </w:r>
      <w:r>
        <w:rPr>
          <w:rFonts w:hint="eastAsia" w:ascii="仿宋" w:hAnsi="仿宋" w:eastAsia="仿宋"/>
        </w:rPr>
        <w:t>，鼓励运用启发式、研讨式、参与式等多种形式的教学方法，</w:t>
      </w:r>
      <w:r>
        <w:rPr>
          <w:rFonts w:ascii="仿宋" w:hAnsi="仿宋" w:eastAsia="仿宋"/>
        </w:rPr>
        <w:t>推进现代信息技术与教学深度融合，积极引导学生进行探究式与个性化学习。</w:t>
      </w:r>
    </w:p>
    <w:p>
      <w:pPr>
        <w:pStyle w:val="2"/>
        <w:spacing w:line="500" w:lineRule="exact"/>
        <w:rPr>
          <w:rFonts w:ascii="仿宋" w:hAnsi="仿宋" w:eastAsia="仿宋"/>
        </w:rPr>
      </w:pPr>
      <w:r>
        <w:rPr>
          <w:rFonts w:ascii="仿宋" w:hAnsi="仿宋" w:eastAsia="仿宋"/>
        </w:rPr>
        <w:t>2020</w:t>
      </w:r>
      <w:r>
        <w:rPr>
          <w:rFonts w:hint="eastAsia" w:ascii="仿宋" w:hAnsi="仿宋" w:eastAsia="仿宋"/>
        </w:rPr>
        <w:t>年度，学位点设置相关政治理论课程与公司战略管理、审计治理等课程。同时，专业课程开展课程思政，以培养学生政治素养与大局意识；在管理审计、企业税务筹划等课程中加入国际前沿专题，以拓展国际视野；设置大数据审计、大数据分析与处理等课程，以掌握大数据审计技术；在授课内容和方式上注重对创新精神的培养，组织学生参加各类学术研讨活动，以激发创新精神。</w:t>
      </w:r>
    </w:p>
    <w:p>
      <w:pPr>
        <w:pStyle w:val="2"/>
        <w:spacing w:before="156" w:beforeLines="50" w:after="156" w:afterLines="50" w:line="500" w:lineRule="exact"/>
        <w:rPr>
          <w:rStyle w:val="18"/>
          <w:rFonts w:ascii="方正仿宋简体" w:hAnsi="方正仿宋简体" w:cs="方正仿宋简体"/>
          <w:color w:val="auto"/>
          <w:szCs w:val="32"/>
        </w:rPr>
      </w:pPr>
      <w:r>
        <w:rPr>
          <w:rStyle w:val="18"/>
          <w:rFonts w:hint="eastAsia" w:ascii="方正仿宋简体" w:hAnsi="方正仿宋简体" w:cs="方正仿宋简体"/>
          <w:color w:val="auto"/>
          <w:szCs w:val="32"/>
        </w:rPr>
        <w:t>（二）导师选拔及培训</w:t>
      </w:r>
    </w:p>
    <w:p>
      <w:pPr>
        <w:pStyle w:val="2"/>
        <w:spacing w:line="500" w:lineRule="exact"/>
        <w:rPr>
          <w:rFonts w:ascii="仿宋" w:hAnsi="仿宋" w:eastAsia="仿宋" w:cs="方正仿宋简体"/>
        </w:rPr>
      </w:pPr>
      <w:r>
        <w:rPr>
          <w:rFonts w:hint="eastAsia" w:ascii="仿宋" w:hAnsi="仿宋" w:eastAsia="仿宋" w:cs="方正仿宋简体"/>
        </w:rPr>
        <w:t>在研究生导师选聘方面，学位点依据《浙江工商大学硕士生指导教师选聘工作管理办法》进行导师增列及动态遴选工作，确保研究生导师选拔的公正合理；此外，学位点结合研究生指导教师的科研考核绩效及学生培养质量等因素，对研究生导师的招生名额进行动态分配和调整，以保证对研究生的指导质量。</w:t>
      </w:r>
    </w:p>
    <w:p>
      <w:pPr>
        <w:pStyle w:val="2"/>
        <w:spacing w:line="500" w:lineRule="exact"/>
        <w:rPr>
          <w:rFonts w:ascii="仿宋" w:hAnsi="仿宋" w:eastAsia="仿宋" w:cs="方正仿宋简体"/>
        </w:rPr>
      </w:pPr>
      <w:r>
        <w:rPr>
          <w:rFonts w:hint="eastAsia" w:ascii="仿宋" w:hAnsi="仿宋" w:eastAsia="仿宋" w:cs="方正仿宋简体"/>
        </w:rPr>
        <w:t>在研究生导师培训方面，学位点定期开展多种形式的研究生指导教师培训活动，辅助新任研究生导师成长，并鼓励新任研究生导师和授课老师积极参加培训活动，提升指导研究生的能力，能更好地承担研究生培养指导者和引路人的责任。</w:t>
      </w:r>
    </w:p>
    <w:p>
      <w:pPr>
        <w:pStyle w:val="2"/>
        <w:spacing w:line="500" w:lineRule="exact"/>
        <w:rPr>
          <w:rFonts w:ascii="仿宋" w:hAnsi="仿宋" w:eastAsia="仿宋" w:cs="方正仿宋简体"/>
        </w:rPr>
      </w:pPr>
      <w:r>
        <w:rPr>
          <w:rFonts w:hint="eastAsia" w:ascii="仿宋" w:hAnsi="仿宋" w:eastAsia="仿宋" w:cs="方正仿宋简体"/>
        </w:rPr>
        <w:t>截止2020年底，学位点教师累计参加各类培训、研讨、访学和进修14人次，具体包括审计署的培训会议、教学课程培训、案例研讨会、教学管理会议、《经济研究》、浙江大学等主办的国内学术会议以及财政部等主办的高端人才培训等。由于受疫情影响，暂无老师进行出国访问或学术交流。</w:t>
      </w:r>
    </w:p>
    <w:p>
      <w:pPr>
        <w:ind w:firstLine="640" w:firstLineChars="200"/>
        <w:rPr>
          <w:rFonts w:ascii="黑体" w:hAnsi="黑体" w:eastAsia="黑体"/>
          <w:szCs w:val="32"/>
        </w:rPr>
      </w:pPr>
      <w:r>
        <w:rPr>
          <w:rStyle w:val="18"/>
          <w:rFonts w:hint="eastAsia" w:ascii="黑体" w:hAnsi="黑体" w:eastAsia="黑体" w:cs="方正仿宋简体"/>
          <w:szCs w:val="32"/>
        </w:rPr>
        <w:t>（三）师德师风建设</w:t>
      </w:r>
      <w:r>
        <w:rPr>
          <w:rFonts w:hint="eastAsia" w:ascii="黑体" w:hAnsi="黑体" w:eastAsia="黑体"/>
          <w:szCs w:val="32"/>
        </w:rPr>
        <w:t>情况</w:t>
      </w:r>
    </w:p>
    <w:p>
      <w:pPr>
        <w:pStyle w:val="2"/>
        <w:spacing w:line="500" w:lineRule="exact"/>
        <w:rPr>
          <w:rStyle w:val="18"/>
          <w:rFonts w:ascii="仿宋" w:hAnsi="仿宋" w:eastAsia="仿宋" w:cs="方正仿宋简体"/>
          <w:szCs w:val="32"/>
        </w:rPr>
      </w:pPr>
      <w:r>
        <w:rPr>
          <w:rFonts w:hint="eastAsia" w:ascii="仿宋" w:hAnsi="仿宋" w:eastAsia="仿宋" w:cs="方正仿宋简体"/>
        </w:rPr>
        <w:t>在师德师风制度建设方面，学位点认真贯彻落实国家和学校相关规定，扎实推进师德师风建设，筑牢师德底线，引导教师崇德尚行。一方面，</w:t>
      </w:r>
      <w:r>
        <w:rPr>
          <w:rStyle w:val="18"/>
          <w:rFonts w:hint="eastAsia" w:ascii="仿宋" w:hAnsi="仿宋" w:eastAsia="仿宋" w:cs="方正仿宋简体"/>
          <w:szCs w:val="32"/>
        </w:rPr>
        <w:t>推行“师德师风一票否决”制度，将师德师风纳入教师考核评定，以师德师风表现作为评价的重要参考，严格杜绝教学、科研和服务等方面的不良行为。另一方面，建立“弘毅奖教金”制度，募集100万用于奖励每一年度在立德树人、教书育人工作中表现突出的教师。</w:t>
      </w:r>
    </w:p>
    <w:p>
      <w:pPr>
        <w:spacing w:line="500" w:lineRule="exact"/>
        <w:ind w:firstLine="640" w:firstLineChars="200"/>
        <w:rPr>
          <w:rFonts w:ascii="仿宋" w:hAnsi="仿宋" w:eastAsia="仿宋" w:cs="方正仿宋简体"/>
        </w:rPr>
      </w:pPr>
      <w:r>
        <w:rPr>
          <w:rStyle w:val="18"/>
          <w:rFonts w:hint="eastAsia" w:ascii="仿宋" w:hAnsi="仿宋" w:eastAsia="仿宋" w:cs="方正仿宋简体"/>
          <w:color w:val="000000"/>
          <w:szCs w:val="32"/>
        </w:rPr>
        <w:t>近五年来，学位点所在学院连续获得校“三育人先进集体”；学位点教师分别获得新时代省“万名好党员”、“师德先进个人”、“优秀教师”、省委组织部“新时代千名好支书”、省“三育人”先进个人、省“家庭事业兼顾型”优秀教师、省最美教师提名等各类荣誉。此外，学位点教师</w:t>
      </w:r>
      <w:r>
        <w:rPr>
          <w:rStyle w:val="18"/>
          <w:rFonts w:hint="eastAsia" w:ascii="仿宋" w:hAnsi="仿宋" w:eastAsia="仿宋" w:cs="方正仿宋简体"/>
          <w:szCs w:val="32"/>
        </w:rPr>
        <w:t>在疫情期间作为志愿者投身</w:t>
      </w:r>
      <w:r>
        <w:rPr>
          <w:rStyle w:val="18"/>
          <w:rFonts w:hint="eastAsia" w:ascii="仿宋" w:hAnsi="仿宋" w:eastAsia="仿宋" w:cs="方正仿宋简体"/>
          <w:color w:val="000000"/>
          <w:szCs w:val="32"/>
        </w:rPr>
        <w:t>新冠疫情防控</w:t>
      </w:r>
      <w:r>
        <w:rPr>
          <w:rStyle w:val="18"/>
          <w:rFonts w:hint="eastAsia" w:ascii="仿宋" w:hAnsi="仿宋" w:eastAsia="仿宋" w:cs="方正仿宋简体"/>
          <w:szCs w:val="32"/>
        </w:rPr>
        <w:t>第一线</w:t>
      </w:r>
      <w:r>
        <w:rPr>
          <w:rStyle w:val="18"/>
          <w:rFonts w:hint="eastAsia" w:ascii="仿宋" w:hAnsi="仿宋" w:eastAsia="仿宋" w:cs="方正仿宋简体"/>
          <w:color w:val="000000"/>
          <w:szCs w:val="32"/>
        </w:rPr>
        <w:t>，事迹</w:t>
      </w:r>
      <w:r>
        <w:rPr>
          <w:rStyle w:val="18"/>
          <w:rFonts w:hint="eastAsia" w:ascii="仿宋" w:hAnsi="仿宋" w:eastAsia="仿宋" w:cs="方正仿宋简体"/>
          <w:szCs w:val="32"/>
        </w:rPr>
        <w:t>被中国教育在线、中国新闻网等媒体报道转载。</w:t>
      </w:r>
    </w:p>
    <w:p>
      <w:pPr>
        <w:pStyle w:val="2"/>
        <w:spacing w:before="156" w:beforeLines="50" w:after="156" w:afterLines="50" w:line="500" w:lineRule="exact"/>
        <w:rPr>
          <w:rStyle w:val="18"/>
          <w:rFonts w:ascii="方正仿宋简体" w:hAnsi="方正仿宋简体" w:cs="方正仿宋简体"/>
          <w:color w:val="auto"/>
          <w:szCs w:val="32"/>
        </w:rPr>
      </w:pPr>
      <w:r>
        <w:rPr>
          <w:rStyle w:val="18"/>
          <w:rFonts w:hint="eastAsia" w:ascii="方正仿宋简体" w:hAnsi="方正仿宋简体" w:cs="方正仿宋简体"/>
          <w:color w:val="auto"/>
          <w:szCs w:val="32"/>
        </w:rPr>
        <w:t>（四）学术训练情况</w:t>
      </w:r>
    </w:p>
    <w:p>
      <w:pPr>
        <w:pStyle w:val="2"/>
        <w:spacing w:line="500" w:lineRule="exact"/>
        <w:rPr>
          <w:rFonts w:ascii="仿宋" w:hAnsi="仿宋" w:eastAsia="仿宋" w:cs="方正仿宋简体"/>
        </w:rPr>
      </w:pPr>
      <w:r>
        <w:rPr>
          <w:rFonts w:hint="eastAsia" w:ascii="仿宋" w:hAnsi="仿宋" w:eastAsia="仿宋" w:cs="方正仿宋简体"/>
        </w:rPr>
        <w:t>学位点一贯注重对研究生学术能力和学术素养的培养。在学术能力训练方面，学位点制度化举行“钱江会计学术论坛”，邀请校外知名学者专家和青年学者做前沿学术专题讲座，并要求全体在校研究生参加；制度化举办“学术午餐会”，要求学生每人至少参加4次以上，自2020年底累计已经举办122期。另外，本学位点每年举办“研究生学术论坛”和“专业学位案例大赛”分别设置一等奖、二等奖、三等奖和优胜奖并提供现金奖励；设置“研究生优秀学位论文培育项目”并为入选项目提供</w:t>
      </w:r>
      <w:r>
        <w:rPr>
          <w:rFonts w:ascii="仿宋" w:hAnsi="仿宋" w:eastAsia="仿宋" w:cs="方正仿宋简体"/>
        </w:rPr>
        <w:t>10000</w:t>
      </w:r>
      <w:r>
        <w:rPr>
          <w:rFonts w:hint="eastAsia" w:ascii="仿宋" w:hAnsi="仿宋" w:eastAsia="仿宋" w:cs="方正仿宋简体"/>
        </w:rPr>
        <w:t>元的经费。</w:t>
      </w:r>
    </w:p>
    <w:p>
      <w:pPr>
        <w:pStyle w:val="2"/>
      </w:pPr>
      <w:r>
        <w:rPr>
          <w:rFonts w:hint="eastAsia" w:ascii="仿宋" w:hAnsi="仿宋" w:eastAsia="仿宋" w:cs="方正仿宋简体"/>
        </w:rPr>
        <w:t>此外，2</w:t>
      </w:r>
      <w:r>
        <w:rPr>
          <w:rFonts w:ascii="仿宋" w:hAnsi="仿宋" w:eastAsia="仿宋" w:cs="方正仿宋简体"/>
        </w:rPr>
        <w:t>020</w:t>
      </w:r>
      <w:r>
        <w:rPr>
          <w:rFonts w:hint="eastAsia" w:ascii="仿宋" w:hAnsi="仿宋" w:eastAsia="仿宋" w:cs="方正仿宋简体"/>
        </w:rPr>
        <w:t>年度，学位点先后邀请了天健会计师事务所、万事利集团、远洲集团、浙江省交通投资集团、浙江省财政厅、浙江省会计学会、浙江省注册会计师协会等专业人士为学生提供面对面的学习机会，内容涉及财务、会计、内控审计、公司治理等各个实践领域。</w:t>
      </w:r>
    </w:p>
    <w:p>
      <w:pPr>
        <w:ind w:firstLine="640" w:firstLineChars="200"/>
        <w:rPr>
          <w:rFonts w:ascii="黑体" w:hAnsi="黑体" w:eastAsia="黑体"/>
        </w:rPr>
      </w:pPr>
      <w:r>
        <w:rPr>
          <w:rFonts w:hint="eastAsia" w:ascii="黑体" w:hAnsi="黑体" w:eastAsia="黑体"/>
        </w:rPr>
        <w:t>（五）学术交流情况</w:t>
      </w:r>
    </w:p>
    <w:p>
      <w:pPr>
        <w:pStyle w:val="2"/>
        <w:spacing w:line="500" w:lineRule="exact"/>
        <w:rPr>
          <w:rStyle w:val="18"/>
          <w:rFonts w:ascii="仿宋" w:hAnsi="仿宋" w:eastAsia="仿宋" w:cs="方正仿宋简体"/>
          <w:color w:val="auto"/>
          <w:szCs w:val="32"/>
        </w:rPr>
      </w:pPr>
      <w:r>
        <w:rPr>
          <w:rStyle w:val="18"/>
          <w:rFonts w:hint="eastAsia" w:ascii="仿宋" w:hAnsi="仿宋" w:eastAsia="仿宋" w:cs="方正仿宋简体"/>
          <w:szCs w:val="32"/>
        </w:rPr>
        <w:t>学位点积极搭建学术交流平台、鼓励研究生外出参加学术研讨会，实现本学位点研究生与学者互动，让研究生了解学科发展概况以及前沿进展情况。2</w:t>
      </w:r>
      <w:r>
        <w:rPr>
          <w:rStyle w:val="18"/>
          <w:rFonts w:ascii="仿宋" w:hAnsi="仿宋" w:eastAsia="仿宋" w:cs="方正仿宋简体"/>
          <w:szCs w:val="32"/>
        </w:rPr>
        <w:t>020</w:t>
      </w:r>
      <w:r>
        <w:rPr>
          <w:rStyle w:val="18"/>
          <w:rFonts w:hint="eastAsia" w:ascii="仿宋" w:hAnsi="仿宋" w:eastAsia="仿宋" w:cs="方正仿宋简体"/>
          <w:szCs w:val="32"/>
        </w:rPr>
        <w:t>年，审计专硕学生1</w:t>
      </w:r>
      <w:r>
        <w:rPr>
          <w:rStyle w:val="18"/>
          <w:rFonts w:ascii="仿宋" w:hAnsi="仿宋" w:eastAsia="仿宋" w:cs="方正仿宋简体"/>
          <w:szCs w:val="32"/>
        </w:rPr>
        <w:t>5</w:t>
      </w:r>
      <w:r>
        <w:rPr>
          <w:rStyle w:val="18"/>
          <w:rFonts w:hint="eastAsia" w:ascii="仿宋" w:hAnsi="仿宋" w:eastAsia="仿宋" w:cs="方正仿宋简体"/>
          <w:szCs w:val="32"/>
        </w:rPr>
        <w:t>人次到南京审计大学、上海交通大学等参加学术会议。</w:t>
      </w:r>
    </w:p>
    <w:p>
      <w:pPr>
        <w:ind w:firstLine="640" w:firstLineChars="200"/>
        <w:rPr>
          <w:rFonts w:ascii="黑体" w:hAnsi="黑体" w:eastAsia="黑体"/>
          <w:szCs w:val="32"/>
        </w:rPr>
      </w:pPr>
      <w:r>
        <w:rPr>
          <w:rFonts w:hint="eastAsia" w:ascii="黑体" w:hAnsi="黑体" w:eastAsia="黑体"/>
          <w:szCs w:val="32"/>
        </w:rPr>
        <w:t>（六）研究生奖助情况</w:t>
      </w:r>
    </w:p>
    <w:p>
      <w:pPr>
        <w:pStyle w:val="2"/>
        <w:spacing w:line="500" w:lineRule="exact"/>
        <w:rPr>
          <w:rStyle w:val="18"/>
          <w:rFonts w:ascii="仿宋" w:hAnsi="仿宋" w:eastAsia="仿宋" w:cs="方正仿宋简体"/>
          <w:szCs w:val="32"/>
        </w:rPr>
      </w:pPr>
      <w:r>
        <w:rPr>
          <w:rFonts w:hint="eastAsia" w:ascii="仿宋" w:hAnsi="仿宋" w:eastAsia="仿宋" w:cs="方正仿宋简体"/>
        </w:rPr>
        <w:t>学位点所在学院成立奖助评定工作小组，按照各类奖助学金评审管理办法，按时完成各类奖学金评定及国家助学金、助研津贴审核发放工作。</w:t>
      </w:r>
    </w:p>
    <w:p>
      <w:pPr>
        <w:spacing w:line="500" w:lineRule="exact"/>
        <w:ind w:firstLine="640" w:firstLineChars="200"/>
      </w:pPr>
      <w:r>
        <w:rPr>
          <w:rStyle w:val="18"/>
          <w:rFonts w:hint="eastAsia" w:ascii="仿宋" w:hAnsi="仿宋" w:eastAsia="仿宋" w:cs="方正仿宋简体"/>
          <w:szCs w:val="32"/>
        </w:rPr>
        <w:t>2</w:t>
      </w:r>
      <w:r>
        <w:rPr>
          <w:rStyle w:val="18"/>
          <w:rFonts w:ascii="仿宋" w:hAnsi="仿宋" w:eastAsia="仿宋" w:cs="方正仿宋简体"/>
          <w:szCs w:val="32"/>
        </w:rPr>
        <w:t>020</w:t>
      </w:r>
      <w:r>
        <w:rPr>
          <w:rStyle w:val="18"/>
          <w:rFonts w:hint="eastAsia" w:ascii="仿宋" w:hAnsi="仿宋" w:eastAsia="仿宋" w:cs="方正仿宋简体"/>
          <w:szCs w:val="32"/>
        </w:rPr>
        <w:t>年度，本学位点研究生获得国家奖学金</w:t>
      </w:r>
      <w:r>
        <w:rPr>
          <w:rStyle w:val="18"/>
          <w:rFonts w:ascii="仿宋" w:hAnsi="仿宋" w:eastAsia="仿宋" w:cs="方正仿宋简体"/>
          <w:szCs w:val="32"/>
        </w:rPr>
        <w:t>2</w:t>
      </w:r>
      <w:r>
        <w:rPr>
          <w:rStyle w:val="18"/>
          <w:rFonts w:hint="eastAsia" w:ascii="仿宋" w:hAnsi="仿宋" w:eastAsia="仿宋" w:cs="方正仿宋简体"/>
          <w:szCs w:val="32"/>
        </w:rPr>
        <w:t>人，弘毅奖学金1人，国家助学金</w:t>
      </w:r>
      <w:r>
        <w:rPr>
          <w:rStyle w:val="18"/>
          <w:rFonts w:ascii="仿宋" w:hAnsi="仿宋" w:eastAsia="仿宋" w:cs="方正仿宋简体"/>
          <w:szCs w:val="32"/>
        </w:rPr>
        <w:t>62</w:t>
      </w:r>
      <w:r>
        <w:rPr>
          <w:rStyle w:val="18"/>
          <w:rFonts w:hint="eastAsia" w:ascii="仿宋" w:hAnsi="仿宋" w:eastAsia="仿宋" w:cs="方正仿宋简体"/>
          <w:szCs w:val="32"/>
        </w:rPr>
        <w:t>人，学业奖学金4</w:t>
      </w:r>
      <w:r>
        <w:rPr>
          <w:rStyle w:val="18"/>
          <w:rFonts w:ascii="仿宋" w:hAnsi="仿宋" w:eastAsia="仿宋" w:cs="方正仿宋简体"/>
          <w:szCs w:val="32"/>
        </w:rPr>
        <w:t>5</w:t>
      </w:r>
      <w:r>
        <w:rPr>
          <w:rStyle w:val="18"/>
          <w:rFonts w:hint="eastAsia" w:ascii="仿宋" w:hAnsi="仿宋" w:eastAsia="仿宋" w:cs="方正仿宋简体"/>
          <w:szCs w:val="32"/>
        </w:rPr>
        <w:t>人，</w:t>
      </w:r>
      <w:r>
        <w:rPr>
          <w:rStyle w:val="18"/>
          <w:rFonts w:ascii="仿宋" w:hAnsi="仿宋" w:eastAsia="仿宋" w:cs="方正仿宋简体"/>
          <w:szCs w:val="32"/>
        </w:rPr>
        <w:t>2人获得浙江省优秀</w:t>
      </w:r>
      <w:r>
        <w:rPr>
          <w:rStyle w:val="18"/>
          <w:rFonts w:hint="eastAsia" w:ascii="仿宋" w:hAnsi="仿宋" w:eastAsia="仿宋" w:cs="方正仿宋简体"/>
          <w:szCs w:val="32"/>
        </w:rPr>
        <w:t>研究生，</w:t>
      </w:r>
      <w:r>
        <w:rPr>
          <w:rStyle w:val="18"/>
          <w:rFonts w:ascii="仿宋" w:hAnsi="仿宋" w:eastAsia="仿宋" w:cs="方正仿宋简体"/>
          <w:szCs w:val="32"/>
        </w:rPr>
        <w:t>2人获得</w:t>
      </w:r>
      <w:r>
        <w:rPr>
          <w:rStyle w:val="18"/>
          <w:rFonts w:hint="eastAsia" w:ascii="仿宋" w:hAnsi="仿宋" w:eastAsia="仿宋" w:cs="方正仿宋简体"/>
          <w:szCs w:val="32"/>
        </w:rPr>
        <w:t>校级</w:t>
      </w:r>
      <w:r>
        <w:rPr>
          <w:rStyle w:val="18"/>
          <w:rFonts w:ascii="仿宋" w:hAnsi="仿宋" w:eastAsia="仿宋" w:cs="方正仿宋简体"/>
          <w:szCs w:val="32"/>
        </w:rPr>
        <w:t>优秀研究生</w:t>
      </w:r>
      <w:r>
        <w:rPr>
          <w:rStyle w:val="18"/>
          <w:rFonts w:hint="eastAsia" w:ascii="仿宋" w:hAnsi="仿宋" w:eastAsia="仿宋" w:cs="方正仿宋简体"/>
          <w:szCs w:val="32"/>
        </w:rPr>
        <w:t>，2人考取C</w:t>
      </w:r>
      <w:r>
        <w:rPr>
          <w:rStyle w:val="18"/>
          <w:rFonts w:ascii="仿宋" w:hAnsi="仿宋" w:eastAsia="仿宋" w:cs="方正仿宋简体"/>
          <w:szCs w:val="32"/>
        </w:rPr>
        <w:t>IA</w:t>
      </w:r>
      <w:r>
        <w:rPr>
          <w:rStyle w:val="18"/>
          <w:rFonts w:hint="eastAsia" w:ascii="仿宋" w:hAnsi="仿宋" w:eastAsia="仿宋" w:cs="方正仿宋简体"/>
          <w:szCs w:val="32"/>
        </w:rPr>
        <w:t>证书，2人考取注册会计师证书，1人考取税务师证书。</w:t>
      </w:r>
    </w:p>
    <w:p>
      <w:pPr>
        <w:ind w:firstLine="640" w:firstLineChars="200"/>
        <w:rPr>
          <w:rStyle w:val="18"/>
          <w:rFonts w:ascii="黑体" w:hAnsi="黑体" w:eastAsia="黑体" w:cs="黑体"/>
          <w:szCs w:val="32"/>
        </w:rPr>
      </w:pPr>
      <w:r>
        <w:rPr>
          <w:rStyle w:val="18"/>
          <w:rFonts w:hint="eastAsia" w:ascii="黑体" w:hAnsi="黑体" w:eastAsia="黑体" w:cs="黑体"/>
          <w:szCs w:val="32"/>
        </w:rPr>
        <w:t>四、研究生教育改革情况</w:t>
      </w:r>
    </w:p>
    <w:p>
      <w:pPr>
        <w:pStyle w:val="2"/>
        <w:spacing w:line="500" w:lineRule="exact"/>
        <w:rPr>
          <w:rStyle w:val="18"/>
          <w:rFonts w:ascii="黑体" w:hAnsi="黑体" w:eastAsia="黑体" w:cs="方正仿宋简体"/>
          <w:szCs w:val="32"/>
        </w:rPr>
      </w:pPr>
      <w:r>
        <w:rPr>
          <w:rStyle w:val="18"/>
          <w:rFonts w:hint="eastAsia" w:ascii="黑体" w:hAnsi="黑体" w:eastAsia="黑体" w:cs="方正仿宋简体"/>
          <w:szCs w:val="32"/>
        </w:rPr>
        <w:t>（一）人才培养</w:t>
      </w:r>
    </w:p>
    <w:p>
      <w:pPr>
        <w:pStyle w:val="2"/>
        <w:spacing w:line="500" w:lineRule="exact"/>
      </w:pPr>
      <w:r>
        <w:rPr>
          <w:rFonts w:hint="eastAsia" w:ascii="仿宋" w:hAnsi="仿宋" w:eastAsia="仿宋" w:cs="方正仿宋简体"/>
        </w:rPr>
        <w:t>2</w:t>
      </w:r>
      <w:r>
        <w:rPr>
          <w:rFonts w:ascii="仿宋" w:hAnsi="仿宋" w:eastAsia="仿宋" w:cs="方正仿宋简体"/>
        </w:rPr>
        <w:t>020</w:t>
      </w:r>
      <w:r>
        <w:rPr>
          <w:rFonts w:hint="eastAsia" w:ascii="仿宋" w:hAnsi="仿宋" w:eastAsia="仿宋" w:cs="方正仿宋简体"/>
        </w:rPr>
        <w:t>年度，学位点加强人才培养改革。一方面，紧抓习近平总书记赋予浙江建设的“重要窗口”，立足新目标、新使命，积极响应新时代下国家和社会需求，结合长三角一体化区域经济发展战略的实际人才需要，培养熟悉</w:t>
      </w:r>
      <w:r>
        <w:rPr>
          <w:rFonts w:ascii="仿宋" w:hAnsi="仿宋" w:eastAsia="仿宋" w:cs="方正仿宋简体"/>
        </w:rPr>
        <w:t>国际通行的商业规则和审计准则</w:t>
      </w:r>
      <w:r>
        <w:rPr>
          <w:rFonts w:hint="eastAsia" w:ascii="仿宋" w:hAnsi="仿宋" w:eastAsia="仿宋" w:cs="方正仿宋简体"/>
        </w:rPr>
        <w:t>的，能够应对复杂多变的</w:t>
      </w:r>
      <w:r>
        <w:rPr>
          <w:rFonts w:ascii="仿宋" w:hAnsi="仿宋" w:eastAsia="仿宋" w:cs="方正仿宋简体"/>
        </w:rPr>
        <w:t>全球化竞争</w:t>
      </w:r>
      <w:r>
        <w:rPr>
          <w:rFonts w:hint="eastAsia" w:ascii="仿宋" w:hAnsi="仿宋" w:eastAsia="仿宋" w:cs="方正仿宋简体"/>
        </w:rPr>
        <w:t>的，熟练掌握大数据、云计算、人工智能等技术进行审计工作的“管理型高级审计人才”。另一方面，为了实现培养目标，学位点探索建立“协同多方参与、高效循环反馈”的人才培养方案制定模式。在人才培养方案制定与修订过程中，学位点通过调研、访谈等方式广泛征求建议，邀请包括北京大学、中国人民大学、上海财经大学等在内的知名高校同行学术专家，以及企业集团的实务专家对培养方案的细节进行论证讨论，并在执行之后通过对学生进行相应的问卷调查对培养方案的执行效果进行评价，针对对存在的问题，在下一轮培养方案的修订和调整中予以解决。</w:t>
      </w:r>
    </w:p>
    <w:p>
      <w:pPr>
        <w:ind w:firstLine="640" w:firstLineChars="200"/>
        <w:rPr>
          <w:rStyle w:val="18"/>
          <w:rFonts w:ascii="黑体" w:hAnsi="黑体" w:eastAsia="黑体" w:cs="方正仿宋简体"/>
          <w:szCs w:val="32"/>
        </w:rPr>
      </w:pPr>
      <w:r>
        <w:rPr>
          <w:rStyle w:val="18"/>
          <w:rFonts w:hint="eastAsia" w:ascii="黑体" w:hAnsi="黑体" w:eastAsia="黑体" w:cs="方正仿宋简体"/>
          <w:szCs w:val="32"/>
        </w:rPr>
        <w:t>（二）教师队伍建设</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2</w:t>
      </w:r>
      <w:r>
        <w:rPr>
          <w:rStyle w:val="18"/>
          <w:rFonts w:ascii="仿宋" w:hAnsi="仿宋" w:eastAsia="仿宋" w:cs="方正仿宋简体"/>
          <w:szCs w:val="32"/>
        </w:rPr>
        <w:t>020</w:t>
      </w:r>
      <w:r>
        <w:rPr>
          <w:rStyle w:val="18"/>
          <w:rFonts w:hint="eastAsia" w:ascii="仿宋" w:hAnsi="仿宋" w:eastAsia="仿宋" w:cs="方正仿宋简体"/>
          <w:szCs w:val="32"/>
        </w:rPr>
        <w:t>年度，本学位点积极推进教师队伍建设改革。一方面，探索</w:t>
      </w:r>
      <w:r>
        <w:rPr>
          <w:rFonts w:hint="eastAsia" w:ascii="仿宋" w:hAnsi="仿宋" w:eastAsia="仿宋" w:cs="方正仿宋简体"/>
        </w:rPr>
        <w:t>建立以实务、理论界“名家”、“博导”为引领，以中高级职称教师和企事业单位高管为骨干的校内外导师团队，构建理论与实践有机结合的教师队伍，进一步</w:t>
      </w:r>
      <w:r>
        <w:rPr>
          <w:rStyle w:val="18"/>
          <w:rFonts w:hint="eastAsia" w:ascii="仿宋" w:hAnsi="仿宋" w:eastAsia="仿宋" w:cs="方正仿宋简体"/>
          <w:szCs w:val="32"/>
        </w:rPr>
        <w:t>强化“双师型”导师作用</w:t>
      </w:r>
      <w:r>
        <w:rPr>
          <w:rFonts w:hint="eastAsia" w:ascii="仿宋" w:hAnsi="仿宋" w:eastAsia="仿宋" w:cs="方正仿宋简体"/>
        </w:rPr>
        <w:t>。在当前的教师队伍中，</w:t>
      </w:r>
      <w:r>
        <w:rPr>
          <w:rStyle w:val="18"/>
          <w:rFonts w:hint="eastAsia" w:ascii="仿宋" w:hAnsi="仿宋" w:eastAsia="仿宋" w:cs="方正仿宋简体"/>
          <w:szCs w:val="32"/>
        </w:rPr>
        <w:t>有1</w:t>
      </w:r>
      <w:r>
        <w:rPr>
          <w:rStyle w:val="18"/>
          <w:rFonts w:ascii="仿宋" w:hAnsi="仿宋" w:eastAsia="仿宋" w:cs="方正仿宋简体"/>
          <w:szCs w:val="32"/>
        </w:rPr>
        <w:t>5</w:t>
      </w:r>
      <w:r>
        <w:rPr>
          <w:rStyle w:val="18"/>
          <w:rFonts w:hint="eastAsia" w:ascii="仿宋" w:hAnsi="仿宋" w:eastAsia="仿宋" w:cs="方正仿宋简体"/>
          <w:szCs w:val="32"/>
        </w:rPr>
        <w:t>人具有CPA等职业资格、1</w:t>
      </w:r>
      <w:r>
        <w:rPr>
          <w:rStyle w:val="18"/>
          <w:rFonts w:ascii="仿宋" w:hAnsi="仿宋" w:eastAsia="仿宋" w:cs="方正仿宋简体"/>
          <w:szCs w:val="32"/>
        </w:rPr>
        <w:t>5</w:t>
      </w:r>
      <w:r>
        <w:rPr>
          <w:rStyle w:val="18"/>
          <w:rFonts w:hint="eastAsia" w:ascii="仿宋" w:hAnsi="仿宋" w:eastAsia="仿宋" w:cs="方正仿宋简体"/>
          <w:szCs w:val="32"/>
        </w:rPr>
        <w:t>人为独立董事、5人具有财务经理等任职经历。另一方面，坚持“请进来和走出去”相结合的聘用及培养方式，。以本院内国家百千万人才、财政部会计名家、国际化高端会计人才等为基础，聘请国内外知名学者与实务导师，参与大纲修订，走进课堂；依托“大地计划”派遣师资前往政府或企业挂职；推进“蓝天计划”选派教师到欧美名校访学，提升实务和理论水平。</w:t>
      </w:r>
    </w:p>
    <w:p>
      <w:pPr>
        <w:pStyle w:val="2"/>
        <w:rPr>
          <w:rStyle w:val="18"/>
          <w:rFonts w:ascii="黑体" w:hAnsi="黑体" w:eastAsia="黑体" w:cs="方正仿宋简体"/>
          <w:szCs w:val="32"/>
        </w:rPr>
      </w:pPr>
      <w:r>
        <w:rPr>
          <w:rStyle w:val="18"/>
          <w:rFonts w:hint="eastAsia" w:ascii="黑体" w:hAnsi="黑体" w:eastAsia="黑体" w:cs="方正仿宋简体"/>
          <w:szCs w:val="32"/>
        </w:rPr>
        <w:t>（三）科学研究</w:t>
      </w:r>
    </w:p>
    <w:p>
      <w:pPr>
        <w:pStyle w:val="2"/>
        <w:spacing w:line="510" w:lineRule="exact"/>
        <w:rPr>
          <w:rStyle w:val="18"/>
          <w:rFonts w:ascii="仿宋" w:hAnsi="仿宋" w:eastAsia="仿宋" w:cs="方正仿宋简体"/>
          <w:szCs w:val="32"/>
        </w:rPr>
      </w:pPr>
      <w:r>
        <w:rPr>
          <w:rStyle w:val="18"/>
          <w:rFonts w:hint="eastAsia" w:ascii="仿宋" w:hAnsi="仿宋" w:eastAsia="仿宋" w:cs="方正仿宋简体"/>
          <w:szCs w:val="32"/>
        </w:rPr>
        <w:t>学位点积极推进科研体系与专业硕士研究生教育体系深度互动，探索以高水平科研支撑专业硕士研究生培养机制，鼓励和支持研究生参与科研项目，开展学术研究。</w:t>
      </w:r>
    </w:p>
    <w:p>
      <w:pPr>
        <w:pStyle w:val="2"/>
        <w:spacing w:line="510" w:lineRule="exact"/>
        <w:rPr>
          <w:rStyle w:val="18"/>
          <w:rFonts w:ascii="仿宋" w:hAnsi="仿宋" w:eastAsia="仿宋" w:cs="方正仿宋简体"/>
          <w:szCs w:val="32"/>
        </w:rPr>
      </w:pPr>
      <w:r>
        <w:rPr>
          <w:rStyle w:val="18"/>
          <w:rFonts w:hint="eastAsia" w:ascii="仿宋" w:hAnsi="仿宋" w:eastAsia="仿宋" w:cs="方正仿宋简体"/>
          <w:szCs w:val="32"/>
        </w:rPr>
        <w:t>2</w:t>
      </w:r>
      <w:r>
        <w:rPr>
          <w:rStyle w:val="18"/>
          <w:rFonts w:ascii="仿宋" w:hAnsi="仿宋" w:eastAsia="仿宋" w:cs="方正仿宋简体"/>
          <w:szCs w:val="32"/>
        </w:rPr>
        <w:t>020</w:t>
      </w:r>
      <w:r>
        <w:rPr>
          <w:rStyle w:val="18"/>
          <w:rFonts w:hint="eastAsia" w:ascii="仿宋" w:hAnsi="仿宋" w:eastAsia="仿宋" w:cs="方正仿宋简体"/>
          <w:szCs w:val="32"/>
        </w:rPr>
        <w:t>年度，本学位点</w:t>
      </w:r>
      <w:r>
        <w:rPr>
          <w:rFonts w:hint="eastAsia" w:ascii="仿宋" w:hAnsi="仿宋" w:eastAsia="仿宋" w:cs="方正仿宋简体"/>
        </w:rPr>
        <w:t>获批国家自科基金项目</w:t>
      </w:r>
      <w:r>
        <w:rPr>
          <w:rFonts w:ascii="仿宋" w:hAnsi="仿宋" w:eastAsia="仿宋" w:cs="方正仿宋简体"/>
        </w:rPr>
        <w:t>1</w:t>
      </w:r>
      <w:r>
        <w:rPr>
          <w:rFonts w:hint="eastAsia" w:ascii="仿宋" w:hAnsi="仿宋" w:eastAsia="仿宋" w:cs="方正仿宋简体"/>
        </w:rPr>
        <w:t>项、国家社科基金重点项目</w:t>
      </w:r>
      <w:r>
        <w:rPr>
          <w:rFonts w:ascii="仿宋" w:hAnsi="仿宋" w:eastAsia="仿宋" w:cs="方正仿宋简体"/>
        </w:rPr>
        <w:t>1</w:t>
      </w:r>
      <w:r>
        <w:rPr>
          <w:rFonts w:hint="eastAsia" w:ascii="仿宋" w:hAnsi="仿宋" w:eastAsia="仿宋" w:cs="方正仿宋简体"/>
        </w:rPr>
        <w:t>项、国家社科基金一般项目</w:t>
      </w:r>
      <w:r>
        <w:rPr>
          <w:rFonts w:ascii="仿宋" w:hAnsi="仿宋" w:eastAsia="仿宋" w:cs="方正仿宋简体"/>
        </w:rPr>
        <w:t>2</w:t>
      </w:r>
      <w:r>
        <w:rPr>
          <w:rFonts w:hint="eastAsia" w:ascii="仿宋" w:hAnsi="仿宋" w:eastAsia="仿宋" w:cs="方正仿宋简体"/>
        </w:rPr>
        <w:t>项，国家社会科学基金青年项目1项；</w:t>
      </w:r>
      <w:r>
        <w:rPr>
          <w:rStyle w:val="18"/>
          <w:rFonts w:hint="eastAsia" w:ascii="仿宋" w:hAnsi="仿宋" w:eastAsia="仿宋" w:cs="方正仿宋简体"/>
          <w:szCs w:val="32"/>
        </w:rPr>
        <w:t>纵向到校科研经费共1</w:t>
      </w:r>
      <w:r>
        <w:rPr>
          <w:rStyle w:val="18"/>
          <w:rFonts w:ascii="仿宋" w:hAnsi="仿宋" w:eastAsia="仿宋" w:cs="方正仿宋简体"/>
          <w:szCs w:val="32"/>
        </w:rPr>
        <w:t>18.3</w:t>
      </w:r>
      <w:r>
        <w:rPr>
          <w:rStyle w:val="18"/>
          <w:rFonts w:hint="eastAsia" w:ascii="仿宋" w:hAnsi="仿宋" w:eastAsia="仿宋" w:cs="方正仿宋简体"/>
          <w:szCs w:val="32"/>
        </w:rPr>
        <w:t>万元、横向到校科研经费共</w:t>
      </w:r>
      <w:r>
        <w:rPr>
          <w:rStyle w:val="18"/>
          <w:rFonts w:ascii="仿宋" w:hAnsi="仿宋" w:eastAsia="仿宋" w:cs="方正仿宋简体"/>
          <w:szCs w:val="32"/>
        </w:rPr>
        <w:t>19.5</w:t>
      </w:r>
      <w:r>
        <w:rPr>
          <w:rStyle w:val="18"/>
          <w:rFonts w:hint="eastAsia" w:ascii="仿宋" w:hAnsi="仿宋" w:eastAsia="仿宋" w:cs="方正仿宋简体"/>
          <w:szCs w:val="32"/>
        </w:rPr>
        <w:t>万元。</w:t>
      </w:r>
    </w:p>
    <w:p>
      <w:pPr>
        <w:pStyle w:val="2"/>
        <w:spacing w:line="510" w:lineRule="exact"/>
      </w:pPr>
      <w:r>
        <w:rPr>
          <w:rStyle w:val="18"/>
          <w:rFonts w:ascii="仿宋" w:hAnsi="仿宋" w:eastAsia="仿宋" w:cs="方正仿宋简体"/>
          <w:szCs w:val="32"/>
        </w:rPr>
        <w:t>2020</w:t>
      </w:r>
      <w:r>
        <w:rPr>
          <w:rStyle w:val="18"/>
          <w:rFonts w:hint="eastAsia" w:ascii="仿宋" w:hAnsi="仿宋" w:eastAsia="仿宋" w:cs="方正仿宋简体"/>
          <w:szCs w:val="32"/>
        </w:rPr>
        <w:t>年度，本学位点教师在《会计研究》、《金融研究》、《审计研究》、《</w:t>
      </w:r>
      <w:r>
        <w:rPr>
          <w:rFonts w:ascii="仿宋" w:hAnsi="仿宋" w:eastAsia="仿宋" w:cs="方正仿宋简体"/>
        </w:rPr>
        <w:t>J</w:t>
      </w:r>
      <w:r>
        <w:rPr>
          <w:rFonts w:hint="eastAsia" w:ascii="仿宋" w:hAnsi="仿宋" w:eastAsia="仿宋" w:cs="方正仿宋简体"/>
        </w:rPr>
        <w:t xml:space="preserve">ournal of </w:t>
      </w:r>
      <w:r>
        <w:rPr>
          <w:rFonts w:ascii="仿宋" w:hAnsi="仿宋" w:eastAsia="仿宋" w:cs="方正仿宋简体"/>
        </w:rPr>
        <w:t>B</w:t>
      </w:r>
      <w:r>
        <w:rPr>
          <w:rFonts w:hint="eastAsia" w:ascii="仿宋" w:hAnsi="仿宋" w:eastAsia="仿宋" w:cs="方正仿宋简体"/>
        </w:rPr>
        <w:t>anking and Finance</w:t>
      </w:r>
      <w:r>
        <w:rPr>
          <w:rStyle w:val="18"/>
          <w:rFonts w:hint="eastAsia" w:ascii="仿宋" w:hAnsi="仿宋" w:eastAsia="仿宋" w:cs="方正仿宋简体"/>
          <w:szCs w:val="32"/>
        </w:rPr>
        <w:t>》等国内外权威期刊发表论文</w:t>
      </w:r>
      <w:r>
        <w:rPr>
          <w:rStyle w:val="18"/>
          <w:rFonts w:ascii="仿宋" w:hAnsi="仿宋" w:eastAsia="仿宋" w:cs="方正仿宋简体"/>
          <w:szCs w:val="32"/>
        </w:rPr>
        <w:t>20</w:t>
      </w:r>
      <w:r>
        <w:rPr>
          <w:rStyle w:val="18"/>
          <w:rFonts w:hint="eastAsia" w:ascii="仿宋" w:hAnsi="仿宋" w:eastAsia="仿宋" w:cs="方正仿宋简体"/>
          <w:szCs w:val="32"/>
        </w:rPr>
        <w:t>余篇。</w:t>
      </w:r>
    </w:p>
    <w:p>
      <w:pPr>
        <w:ind w:firstLine="640" w:firstLineChars="200"/>
        <w:rPr>
          <w:rStyle w:val="18"/>
          <w:rFonts w:ascii="黑体" w:hAnsi="黑体" w:eastAsia="黑体" w:cs="方正仿宋简体"/>
          <w:szCs w:val="32"/>
        </w:rPr>
      </w:pPr>
      <w:r>
        <w:rPr>
          <w:rStyle w:val="18"/>
          <w:rFonts w:hint="eastAsia" w:ascii="黑体" w:hAnsi="黑体" w:eastAsia="黑体" w:cs="方正仿宋简体"/>
          <w:szCs w:val="32"/>
        </w:rPr>
        <w:t>（四）传承创新优秀文化</w:t>
      </w:r>
    </w:p>
    <w:p>
      <w:pPr>
        <w:pStyle w:val="2"/>
        <w:spacing w:line="500" w:lineRule="exact"/>
        <w:rPr>
          <w:rFonts w:ascii="仿宋" w:hAnsi="仿宋" w:eastAsia="仿宋" w:cs="方正仿宋简体"/>
        </w:rPr>
      </w:pPr>
      <w:r>
        <w:rPr>
          <w:rFonts w:hint="eastAsia" w:ascii="仿宋" w:hAnsi="仿宋" w:eastAsia="仿宋" w:cs="方正仿宋简体"/>
        </w:rPr>
        <w:t>学位点以</w:t>
      </w:r>
      <w:r>
        <w:rPr>
          <w:rStyle w:val="18"/>
          <w:rFonts w:hint="eastAsia" w:ascii="仿宋" w:hAnsi="仿宋" w:eastAsia="仿宋" w:cs="方正仿宋简体"/>
          <w:szCs w:val="32"/>
        </w:rPr>
        <w:t>浙江全部政府性资金审计理论研究中心为依托平台，进行审计文化交流，</w:t>
      </w:r>
      <w:r>
        <w:rPr>
          <w:rFonts w:hint="eastAsia" w:ascii="仿宋" w:hAnsi="仿宋" w:eastAsia="仿宋" w:cs="方正仿宋简体"/>
        </w:rPr>
        <w:t>传播浙审智慧。该中心是浙江审计文化交流的重要窗口，一方面，通过定期</w:t>
      </w:r>
      <w:r>
        <w:rPr>
          <w:rFonts w:ascii="仿宋" w:hAnsi="仿宋" w:eastAsia="仿宋" w:cs="方正仿宋简体"/>
        </w:rPr>
        <w:t>邀请审计领域知名专家、学者</w:t>
      </w:r>
      <w:r>
        <w:rPr>
          <w:rFonts w:hint="eastAsia" w:ascii="仿宋" w:hAnsi="仿宋" w:eastAsia="仿宋" w:cs="方正仿宋简体"/>
        </w:rPr>
        <w:t>开展学术讲座或报告，加强审计文化沟通和交流，引导学生重视审计文化，坚持依法履行好审计监督职责，把以人为本、执审为民的理念贯穿于审计实践全过程，另一方面，通过为浙江省审计干部培训以及</w:t>
      </w:r>
      <w:r>
        <w:rPr>
          <w:rFonts w:ascii="仿宋" w:hAnsi="仿宋" w:eastAsia="仿宋" w:cs="方正仿宋简体"/>
        </w:rPr>
        <w:t>选派青年教师、优秀财会专业本科生顶岗实习</w:t>
      </w:r>
      <w:r>
        <w:rPr>
          <w:rFonts w:hint="eastAsia" w:ascii="仿宋" w:hAnsi="仿宋" w:eastAsia="仿宋" w:cs="方正仿宋简体"/>
        </w:rPr>
        <w:t>等相互交流机制，促进审计文化传播，不断提升文化影响力</w:t>
      </w:r>
      <w:r>
        <w:rPr>
          <w:rFonts w:ascii="仿宋" w:hAnsi="仿宋" w:eastAsia="仿宋" w:cs="方正仿宋简体"/>
        </w:rPr>
        <w:t>。</w:t>
      </w:r>
    </w:p>
    <w:p>
      <w:pPr>
        <w:ind w:firstLine="640" w:firstLineChars="200"/>
        <w:rPr>
          <w:rStyle w:val="18"/>
          <w:rFonts w:ascii="黑体" w:hAnsi="黑体" w:eastAsia="黑体" w:cs="黑体"/>
          <w:color w:val="000000"/>
          <w:szCs w:val="32"/>
        </w:rPr>
      </w:pPr>
      <w:r>
        <w:rPr>
          <w:rStyle w:val="18"/>
          <w:rFonts w:hint="eastAsia" w:ascii="黑体" w:hAnsi="黑体" w:eastAsia="黑体" w:cs="黑体"/>
          <w:szCs w:val="32"/>
        </w:rPr>
        <w:t>五、教育质量评估与分析</w:t>
      </w:r>
    </w:p>
    <w:p>
      <w:pPr>
        <w:ind w:firstLine="320" w:firstLineChars="100"/>
        <w:rPr>
          <w:rStyle w:val="18"/>
          <w:rFonts w:ascii="黑体" w:hAnsi="黑体" w:eastAsia="黑体" w:cs="方正仿宋简体"/>
          <w:color w:val="000000" w:themeColor="text1"/>
          <w:szCs w:val="32"/>
          <w14:textFill>
            <w14:solidFill>
              <w14:schemeClr w14:val="tx1"/>
            </w14:solidFill>
          </w14:textFill>
        </w:rPr>
      </w:pPr>
      <w:r>
        <w:rPr>
          <w:rStyle w:val="18"/>
          <w:rFonts w:hint="eastAsia" w:ascii="黑体" w:hAnsi="黑体" w:eastAsia="黑体" w:cs="方正仿宋简体"/>
          <w:color w:val="000000" w:themeColor="text1"/>
          <w:szCs w:val="32"/>
          <w14:textFill>
            <w14:solidFill>
              <w14:schemeClr w14:val="tx1"/>
            </w14:solidFill>
          </w14:textFill>
        </w:rPr>
        <w:t>（一）学科自我评估进展及问题分析</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第一，</w:t>
      </w:r>
      <w:bookmarkStart w:id="4" w:name="OLE_LINK1"/>
      <w:r>
        <w:rPr>
          <w:rStyle w:val="18"/>
          <w:rFonts w:ascii="仿宋" w:hAnsi="仿宋" w:eastAsia="仿宋" w:cs="方正仿宋简体"/>
          <w:szCs w:val="32"/>
        </w:rPr>
        <w:t>实务导师较少参与</w:t>
      </w:r>
      <w:r>
        <w:rPr>
          <w:rStyle w:val="18"/>
          <w:rFonts w:hint="eastAsia" w:ascii="仿宋" w:hAnsi="仿宋" w:eastAsia="仿宋" w:cs="方正仿宋简体"/>
          <w:szCs w:val="32"/>
        </w:rPr>
        <w:t>学生培养环节</w:t>
      </w:r>
      <w:r>
        <w:rPr>
          <w:rStyle w:val="18"/>
          <w:rFonts w:ascii="仿宋" w:hAnsi="仿宋" w:eastAsia="仿宋" w:cs="方正仿宋简体"/>
          <w:szCs w:val="32"/>
        </w:rPr>
        <w:t>，对学生</w:t>
      </w:r>
      <w:r>
        <w:rPr>
          <w:rStyle w:val="18"/>
          <w:rFonts w:hint="eastAsia" w:ascii="仿宋" w:hAnsi="仿宋" w:eastAsia="仿宋" w:cs="方正仿宋简体"/>
          <w:szCs w:val="32"/>
        </w:rPr>
        <w:t>实践业务</w:t>
      </w:r>
      <w:r>
        <w:rPr>
          <w:rStyle w:val="18"/>
          <w:rFonts w:ascii="仿宋" w:hAnsi="仿宋" w:eastAsia="仿宋" w:cs="方正仿宋简体"/>
          <w:szCs w:val="32"/>
        </w:rPr>
        <w:t>能力的锻炼不够，导致学术与实践脱节。</w:t>
      </w:r>
      <w:bookmarkEnd w:id="4"/>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第二，</w:t>
      </w:r>
      <w:r>
        <w:rPr>
          <w:rStyle w:val="18"/>
          <w:rFonts w:ascii="仿宋" w:hAnsi="仿宋" w:eastAsia="仿宋" w:cs="方正仿宋简体"/>
          <w:szCs w:val="32"/>
        </w:rPr>
        <w:t>随着人工智能以及大数据等新技术的快速发展，</w:t>
      </w:r>
      <w:r>
        <w:rPr>
          <w:rStyle w:val="18"/>
          <w:rFonts w:hint="eastAsia" w:ascii="仿宋" w:hAnsi="仿宋" w:eastAsia="仿宋" w:cs="方正仿宋简体"/>
          <w:szCs w:val="32"/>
        </w:rPr>
        <w:t>用人单位</w:t>
      </w:r>
      <w:r>
        <w:rPr>
          <w:rStyle w:val="18"/>
          <w:rFonts w:ascii="仿宋" w:hAnsi="仿宋" w:eastAsia="仿宋" w:cs="方正仿宋简体"/>
          <w:szCs w:val="32"/>
        </w:rPr>
        <w:t>对审计人才的能力需求也发生变化，审计专硕除了需要掌握专业核心知识外，还需要掌握经济、管理、金融等交叉学科知识，以及大数据处理和分析能力，以支持做出正确的管理决策，MAud师资团队亟需掌握这些知识技术的人才。</w:t>
      </w:r>
    </w:p>
    <w:p>
      <w:pPr>
        <w:ind w:firstLine="320" w:firstLineChars="100"/>
        <w:rPr>
          <w:rStyle w:val="18"/>
          <w:rFonts w:ascii="黑体" w:hAnsi="黑体" w:eastAsia="黑体" w:cs="方正仿宋简体"/>
          <w:color w:val="000000" w:themeColor="text1"/>
          <w:szCs w:val="32"/>
          <w14:textFill>
            <w14:solidFill>
              <w14:schemeClr w14:val="tx1"/>
            </w14:solidFill>
          </w14:textFill>
        </w:rPr>
      </w:pPr>
      <w:r>
        <w:rPr>
          <w:rStyle w:val="18"/>
          <w:rFonts w:hint="eastAsia" w:ascii="黑体" w:hAnsi="黑体" w:eastAsia="黑体" w:cs="方正仿宋简体"/>
          <w:color w:val="000000" w:themeColor="text1"/>
          <w:szCs w:val="32"/>
          <w14:textFill>
            <w14:solidFill>
              <w14:schemeClr w14:val="tx1"/>
            </w14:solidFill>
          </w14:textFill>
        </w:rPr>
        <w:t>（二）学位论文抽检、盲审情况及问题分析</w:t>
      </w:r>
    </w:p>
    <w:p>
      <w:pPr>
        <w:pStyle w:val="2"/>
        <w:spacing w:line="500" w:lineRule="exact"/>
        <w:rPr>
          <w:rStyle w:val="18"/>
          <w:rFonts w:ascii="仿宋" w:hAnsi="仿宋" w:eastAsia="仿宋" w:cs="方正仿宋简体"/>
          <w:szCs w:val="32"/>
        </w:rPr>
      </w:pPr>
      <w:r>
        <w:rPr>
          <w:rFonts w:hint="eastAsia" w:ascii="仿宋" w:hAnsi="仿宋" w:eastAsia="仿宋" w:cs="方正仿宋简体"/>
        </w:rPr>
        <w:t>本学位点学位论文质量总体良好。研究生毕业论文全部送校外专家实行双盲评审，</w:t>
      </w:r>
      <w:r>
        <w:rPr>
          <w:rStyle w:val="18"/>
          <w:rFonts w:hint="eastAsia" w:ascii="仿宋" w:hAnsi="仿宋" w:eastAsia="仿宋" w:cs="方正仿宋简体"/>
          <w:szCs w:val="32"/>
        </w:rPr>
        <w:t>2</w:t>
      </w:r>
      <w:r>
        <w:rPr>
          <w:rStyle w:val="18"/>
          <w:rFonts w:ascii="仿宋" w:hAnsi="仿宋" w:eastAsia="仿宋" w:cs="方正仿宋简体"/>
          <w:szCs w:val="32"/>
        </w:rPr>
        <w:t>020</w:t>
      </w:r>
      <w:r>
        <w:rPr>
          <w:rStyle w:val="18"/>
          <w:rFonts w:hint="eastAsia" w:ascii="仿宋" w:hAnsi="仿宋" w:eastAsia="仿宋" w:cs="方正仿宋简体"/>
          <w:szCs w:val="32"/>
        </w:rPr>
        <w:t>年学位论文被教育厅抽检合格率为1</w:t>
      </w:r>
      <w:r>
        <w:rPr>
          <w:rStyle w:val="18"/>
          <w:rFonts w:ascii="仿宋" w:hAnsi="仿宋" w:eastAsia="仿宋" w:cs="方正仿宋简体"/>
          <w:szCs w:val="32"/>
        </w:rPr>
        <w:t>00</w:t>
      </w:r>
      <w:r>
        <w:rPr>
          <w:rStyle w:val="18"/>
          <w:rFonts w:hint="eastAsia" w:ascii="仿宋" w:hAnsi="仿宋" w:eastAsia="仿宋" w:cs="方正仿宋简体"/>
          <w:szCs w:val="32"/>
        </w:rPr>
        <w:t>%。</w:t>
      </w:r>
    </w:p>
    <w:p>
      <w:pPr>
        <w:ind w:firstLine="640" w:firstLineChars="200"/>
        <w:rPr>
          <w:rStyle w:val="18"/>
          <w:rFonts w:ascii="黑体" w:hAnsi="黑体" w:eastAsia="黑体" w:cs="黑体"/>
          <w:color w:val="000000"/>
          <w:szCs w:val="32"/>
        </w:rPr>
      </w:pPr>
      <w:r>
        <w:rPr>
          <w:rStyle w:val="18"/>
          <w:rFonts w:hint="eastAsia" w:ascii="黑体" w:hAnsi="黑体" w:eastAsia="黑体" w:cs="黑体"/>
          <w:szCs w:val="32"/>
        </w:rPr>
        <w:t>六、</w:t>
      </w:r>
      <w:r>
        <w:rPr>
          <w:rStyle w:val="18"/>
          <w:rFonts w:hint="eastAsia" w:ascii="黑体" w:hAnsi="黑体" w:eastAsia="黑体" w:cs="黑体"/>
          <w:bCs/>
          <w:szCs w:val="32"/>
        </w:rPr>
        <w:t>改进措施</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第一，通过实务导师进课堂、实务导师参与论文中期答辩、论文毕业答辩的方式，让学生更多地掌握实践知识，锻炼实践业务能力，促进理论与实践的结合。</w:t>
      </w:r>
    </w:p>
    <w:p>
      <w:pPr>
        <w:pStyle w:val="2"/>
        <w:spacing w:line="500" w:lineRule="exact"/>
        <w:rPr>
          <w:rStyle w:val="18"/>
          <w:rFonts w:ascii="仿宋" w:hAnsi="仿宋" w:eastAsia="仿宋" w:cs="方正仿宋简体"/>
          <w:szCs w:val="32"/>
        </w:rPr>
      </w:pPr>
      <w:r>
        <w:rPr>
          <w:rStyle w:val="18"/>
          <w:rFonts w:hint="eastAsia" w:ascii="仿宋" w:hAnsi="仿宋" w:eastAsia="仿宋" w:cs="方正仿宋简体"/>
          <w:szCs w:val="32"/>
        </w:rPr>
        <w:t>第二，一方面，吸纳补充具有较强科研能力和业务能力的年轻博士进入师资队伍，尤其是引进具有多学科知识背景、具有大数据处理和分析能力、能够在短时间内承担大数据方向课程授课任务的人才，以满足新形势下的人才需求。另一方面，加强对现有师资的培训，鼓励教师多去参加新形态教育，提高教师教学水平。</w:t>
      </w:r>
    </w:p>
    <w:p>
      <w:pPr>
        <w:pStyle w:val="2"/>
        <w:rPr>
          <w:rStyle w:val="18"/>
          <w:rFonts w:ascii="方正仿宋简体" w:hAnsi="方正仿宋简体" w:cs="方正仿宋简体"/>
          <w:szCs w:val="32"/>
        </w:rPr>
      </w:pPr>
    </w:p>
    <w:p>
      <w:pPr>
        <w:rPr>
          <w:rStyle w:val="18"/>
          <w:rFonts w:ascii="方正仿宋简体" w:hAnsi="方正仿宋简体" w:cs="方正仿宋简体"/>
          <w:szCs w:val="32"/>
        </w:rPr>
      </w:pPr>
    </w:p>
    <w:p>
      <w:pPr>
        <w:pStyle w:val="2"/>
        <w:rPr>
          <w:rStyle w:val="18"/>
          <w:rFonts w:ascii="方正仿宋简体" w:hAnsi="方正仿宋简体" w:cs="方正仿宋简体"/>
          <w:szCs w:val="32"/>
        </w:rPr>
      </w:pPr>
    </w:p>
    <w:p>
      <w:pPr>
        <w:spacing w:after="156" w:afterLines="50" w:line="560" w:lineRule="exac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textAlignment w:val="baseline"/>
      <w:rPr>
        <w:rStyle w:val="18"/>
        <w:rFonts w:ascii="Times New Roman" w:hAnsi="Times New Roman" w:eastAsia="宋体"/>
        <w:sz w:val="18"/>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18"/>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jc w:val="both"/>
                            <w:textAlignment w:val="baseline"/>
                            <w:rPr>
                              <w:rStyle w:val="18"/>
                              <w:rFonts w:ascii="Times New Roman" w:hAnsi="Times New Roman" w:eastAsia="宋体"/>
                              <w:sz w:val="20"/>
                              <w:szCs w:val="18"/>
                            </w:rPr>
                          </w:pPr>
                        </w:p>
                        <w:p>
                          <w:pPr>
                            <w:textAlignment w:val="baseline"/>
                            <w:rPr>
                              <w:rStyle w:val="18"/>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pPr>
                      <w:pStyle w:val="6"/>
                      <w:widowControl/>
                      <w:jc w:val="both"/>
                      <w:textAlignment w:val="baseline"/>
                      <w:rPr>
                        <w:rStyle w:val="18"/>
                        <w:rFonts w:ascii="Times New Roman" w:hAnsi="Times New Roman" w:eastAsia="宋体"/>
                        <w:sz w:val="20"/>
                        <w:szCs w:val="18"/>
                      </w:rPr>
                    </w:pPr>
                  </w:p>
                  <w:p>
                    <w:pPr>
                      <w:textAlignment w:val="baseline"/>
                      <w:rPr>
                        <w:rStyle w:val="18"/>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jc w:val="center"/>
      <w:textAlignment w:val="baseline"/>
      <w:rPr>
        <w:rStyle w:val="18"/>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6"/>
      <w:widowControl/>
      <w:jc w:val="center"/>
      <w:textAlignment w:val="baseline"/>
      <w:rPr>
        <w:rStyle w:val="18"/>
        <w:rFonts w:ascii="Times New Roman" w:hAnsi="Times New Roman" w:eastAsia="宋体"/>
        <w:sz w:val="28"/>
        <w:szCs w:val="28"/>
      </w:rPr>
    </w:pPr>
    <w:r>
      <w:rPr>
        <w:rStyle w:val="18"/>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jc w:val="center"/>
                            <w:textAlignment w:val="baseline"/>
                            <w:rPr>
                              <w:rStyle w:val="18"/>
                              <w:rFonts w:ascii="仿宋_GB2312" w:hAnsi="仿宋_GB2312" w:eastAsia="仿宋_GB2312"/>
                              <w:sz w:val="28"/>
                              <w:szCs w:val="28"/>
                            </w:rPr>
                          </w:pPr>
                        </w:p>
                        <w:p>
                          <w:pPr>
                            <w:textAlignment w:val="baseline"/>
                            <w:rPr>
                              <w:rStyle w:val="18"/>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pPr>
                      <w:pStyle w:val="6"/>
                      <w:widowControl/>
                      <w:jc w:val="center"/>
                      <w:textAlignment w:val="baseline"/>
                      <w:rPr>
                        <w:rStyle w:val="18"/>
                        <w:rFonts w:ascii="仿宋_GB2312" w:hAnsi="仿宋_GB2312" w:eastAsia="仿宋_GB2312"/>
                        <w:sz w:val="28"/>
                        <w:szCs w:val="28"/>
                      </w:rPr>
                    </w:pPr>
                  </w:p>
                  <w:p>
                    <w:pPr>
                      <w:textAlignment w:val="baseline"/>
                      <w:rPr>
                        <w:rStyle w:val="18"/>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EB"/>
    <w:rsid w:val="0000504C"/>
    <w:rsid w:val="00055032"/>
    <w:rsid w:val="00061B7E"/>
    <w:rsid w:val="00062BAE"/>
    <w:rsid w:val="00072396"/>
    <w:rsid w:val="00082791"/>
    <w:rsid w:val="000A0E9F"/>
    <w:rsid w:val="000A21F9"/>
    <w:rsid w:val="000C5336"/>
    <w:rsid w:val="000D3521"/>
    <w:rsid w:val="000F3479"/>
    <w:rsid w:val="0010707B"/>
    <w:rsid w:val="001316E0"/>
    <w:rsid w:val="00170FDB"/>
    <w:rsid w:val="00172478"/>
    <w:rsid w:val="00181621"/>
    <w:rsid w:val="00191EFA"/>
    <w:rsid w:val="001E7B16"/>
    <w:rsid w:val="00204457"/>
    <w:rsid w:val="0021666C"/>
    <w:rsid w:val="00224EBE"/>
    <w:rsid w:val="00246EAA"/>
    <w:rsid w:val="00256B62"/>
    <w:rsid w:val="002A2A8F"/>
    <w:rsid w:val="002D3B9A"/>
    <w:rsid w:val="002D749D"/>
    <w:rsid w:val="002F05B0"/>
    <w:rsid w:val="003176E5"/>
    <w:rsid w:val="00343D68"/>
    <w:rsid w:val="003879A2"/>
    <w:rsid w:val="003A71E8"/>
    <w:rsid w:val="003B3366"/>
    <w:rsid w:val="003B3A79"/>
    <w:rsid w:val="003C37A9"/>
    <w:rsid w:val="003C78E5"/>
    <w:rsid w:val="003D4D0C"/>
    <w:rsid w:val="003E4610"/>
    <w:rsid w:val="003F29E8"/>
    <w:rsid w:val="00400D96"/>
    <w:rsid w:val="00401CA1"/>
    <w:rsid w:val="00430C26"/>
    <w:rsid w:val="00442911"/>
    <w:rsid w:val="00451F04"/>
    <w:rsid w:val="00467DA8"/>
    <w:rsid w:val="0047055B"/>
    <w:rsid w:val="004C5C13"/>
    <w:rsid w:val="004D6611"/>
    <w:rsid w:val="004E1E30"/>
    <w:rsid w:val="004E7B7F"/>
    <w:rsid w:val="004F47CF"/>
    <w:rsid w:val="00524AE1"/>
    <w:rsid w:val="00533AA1"/>
    <w:rsid w:val="0054300F"/>
    <w:rsid w:val="00566B75"/>
    <w:rsid w:val="00570CFF"/>
    <w:rsid w:val="005777CB"/>
    <w:rsid w:val="0058194A"/>
    <w:rsid w:val="005A0CCF"/>
    <w:rsid w:val="005A6FAB"/>
    <w:rsid w:val="005B6A0B"/>
    <w:rsid w:val="005D5643"/>
    <w:rsid w:val="005F1FBE"/>
    <w:rsid w:val="006134D3"/>
    <w:rsid w:val="00635E07"/>
    <w:rsid w:val="00640761"/>
    <w:rsid w:val="00665D1C"/>
    <w:rsid w:val="00686643"/>
    <w:rsid w:val="006938A6"/>
    <w:rsid w:val="006B400C"/>
    <w:rsid w:val="006B5E78"/>
    <w:rsid w:val="006C7E31"/>
    <w:rsid w:val="006D6566"/>
    <w:rsid w:val="006E1D43"/>
    <w:rsid w:val="006E25F4"/>
    <w:rsid w:val="006E33CF"/>
    <w:rsid w:val="006E6382"/>
    <w:rsid w:val="006F23F6"/>
    <w:rsid w:val="007002F4"/>
    <w:rsid w:val="00702CF9"/>
    <w:rsid w:val="00707224"/>
    <w:rsid w:val="00727E81"/>
    <w:rsid w:val="00734623"/>
    <w:rsid w:val="007432D8"/>
    <w:rsid w:val="007653F6"/>
    <w:rsid w:val="00765E59"/>
    <w:rsid w:val="00766918"/>
    <w:rsid w:val="007707A9"/>
    <w:rsid w:val="00770D12"/>
    <w:rsid w:val="0077765A"/>
    <w:rsid w:val="00782A00"/>
    <w:rsid w:val="007852C0"/>
    <w:rsid w:val="00790815"/>
    <w:rsid w:val="00794AF5"/>
    <w:rsid w:val="007D6B1D"/>
    <w:rsid w:val="007E0B2C"/>
    <w:rsid w:val="007E4F58"/>
    <w:rsid w:val="00834E2B"/>
    <w:rsid w:val="008379C7"/>
    <w:rsid w:val="0084497A"/>
    <w:rsid w:val="00890E1B"/>
    <w:rsid w:val="0089312B"/>
    <w:rsid w:val="008A3C92"/>
    <w:rsid w:val="008A707A"/>
    <w:rsid w:val="008C6FD8"/>
    <w:rsid w:val="008D421F"/>
    <w:rsid w:val="008F53B9"/>
    <w:rsid w:val="00900B6A"/>
    <w:rsid w:val="00926390"/>
    <w:rsid w:val="00942D53"/>
    <w:rsid w:val="00946909"/>
    <w:rsid w:val="00952C61"/>
    <w:rsid w:val="00954E19"/>
    <w:rsid w:val="00967135"/>
    <w:rsid w:val="00973653"/>
    <w:rsid w:val="009B73C4"/>
    <w:rsid w:val="009C0FD2"/>
    <w:rsid w:val="009C2D83"/>
    <w:rsid w:val="009F582B"/>
    <w:rsid w:val="00A256AA"/>
    <w:rsid w:val="00A32682"/>
    <w:rsid w:val="00A340FD"/>
    <w:rsid w:val="00A34812"/>
    <w:rsid w:val="00A349CF"/>
    <w:rsid w:val="00A42856"/>
    <w:rsid w:val="00A54693"/>
    <w:rsid w:val="00A86EAC"/>
    <w:rsid w:val="00A90E95"/>
    <w:rsid w:val="00A957D6"/>
    <w:rsid w:val="00AA00D2"/>
    <w:rsid w:val="00AA377A"/>
    <w:rsid w:val="00AB4E24"/>
    <w:rsid w:val="00AC61B5"/>
    <w:rsid w:val="00AD27E6"/>
    <w:rsid w:val="00AE3C83"/>
    <w:rsid w:val="00B00340"/>
    <w:rsid w:val="00B12BF0"/>
    <w:rsid w:val="00B14E33"/>
    <w:rsid w:val="00B5699E"/>
    <w:rsid w:val="00B65A14"/>
    <w:rsid w:val="00B87EC4"/>
    <w:rsid w:val="00B92CAB"/>
    <w:rsid w:val="00BB344A"/>
    <w:rsid w:val="00BB6CEA"/>
    <w:rsid w:val="00BD42F4"/>
    <w:rsid w:val="00C03B2B"/>
    <w:rsid w:val="00C36358"/>
    <w:rsid w:val="00C55F28"/>
    <w:rsid w:val="00C948DB"/>
    <w:rsid w:val="00CC7345"/>
    <w:rsid w:val="00CE1033"/>
    <w:rsid w:val="00CE3520"/>
    <w:rsid w:val="00D04ED5"/>
    <w:rsid w:val="00D11AA2"/>
    <w:rsid w:val="00D417F0"/>
    <w:rsid w:val="00D4253F"/>
    <w:rsid w:val="00D4749A"/>
    <w:rsid w:val="00D6456C"/>
    <w:rsid w:val="00D71B07"/>
    <w:rsid w:val="00D82C31"/>
    <w:rsid w:val="00D9242E"/>
    <w:rsid w:val="00D92CB2"/>
    <w:rsid w:val="00D93829"/>
    <w:rsid w:val="00D94DEB"/>
    <w:rsid w:val="00DA2192"/>
    <w:rsid w:val="00DA77BC"/>
    <w:rsid w:val="00DB5F68"/>
    <w:rsid w:val="00DB675C"/>
    <w:rsid w:val="00E0290A"/>
    <w:rsid w:val="00E04BAE"/>
    <w:rsid w:val="00E11312"/>
    <w:rsid w:val="00E15864"/>
    <w:rsid w:val="00E158EF"/>
    <w:rsid w:val="00E4082F"/>
    <w:rsid w:val="00E4506C"/>
    <w:rsid w:val="00E501E2"/>
    <w:rsid w:val="00E53D40"/>
    <w:rsid w:val="00E93819"/>
    <w:rsid w:val="00EC10D2"/>
    <w:rsid w:val="00EE4635"/>
    <w:rsid w:val="00EF1BE0"/>
    <w:rsid w:val="00EF205C"/>
    <w:rsid w:val="00F16426"/>
    <w:rsid w:val="00F3196F"/>
    <w:rsid w:val="00F516E0"/>
    <w:rsid w:val="00F731A2"/>
    <w:rsid w:val="00F82A70"/>
    <w:rsid w:val="00F97A7A"/>
    <w:rsid w:val="00FA703C"/>
    <w:rsid w:val="00FB2A31"/>
    <w:rsid w:val="00FC6633"/>
    <w:rsid w:val="00FE1BE7"/>
    <w:rsid w:val="00FF4186"/>
    <w:rsid w:val="05235D34"/>
    <w:rsid w:val="06A20A39"/>
    <w:rsid w:val="0746266D"/>
    <w:rsid w:val="08D12F00"/>
    <w:rsid w:val="0B1E3C3C"/>
    <w:rsid w:val="0B3049D6"/>
    <w:rsid w:val="0B692FE1"/>
    <w:rsid w:val="0C480258"/>
    <w:rsid w:val="0CD00F0A"/>
    <w:rsid w:val="0EBD0E70"/>
    <w:rsid w:val="0F712BB6"/>
    <w:rsid w:val="102354BF"/>
    <w:rsid w:val="121A010C"/>
    <w:rsid w:val="14EE629B"/>
    <w:rsid w:val="16F83C72"/>
    <w:rsid w:val="179648C8"/>
    <w:rsid w:val="1CC25C22"/>
    <w:rsid w:val="1D2C7F08"/>
    <w:rsid w:val="1E501745"/>
    <w:rsid w:val="204737CE"/>
    <w:rsid w:val="2157330E"/>
    <w:rsid w:val="22246072"/>
    <w:rsid w:val="273B2C0F"/>
    <w:rsid w:val="27A929FE"/>
    <w:rsid w:val="2C21126A"/>
    <w:rsid w:val="2C752F1C"/>
    <w:rsid w:val="2D970E2C"/>
    <w:rsid w:val="31232758"/>
    <w:rsid w:val="33D83D93"/>
    <w:rsid w:val="34A54B0F"/>
    <w:rsid w:val="38147E3B"/>
    <w:rsid w:val="389D0C80"/>
    <w:rsid w:val="3B857ED9"/>
    <w:rsid w:val="3B9B0C14"/>
    <w:rsid w:val="3D9B21BA"/>
    <w:rsid w:val="3EE83FF7"/>
    <w:rsid w:val="3F40671A"/>
    <w:rsid w:val="3FEE08F8"/>
    <w:rsid w:val="40811190"/>
    <w:rsid w:val="43673D14"/>
    <w:rsid w:val="43E04937"/>
    <w:rsid w:val="44173ECB"/>
    <w:rsid w:val="44421984"/>
    <w:rsid w:val="44A44BC4"/>
    <w:rsid w:val="44AD2E0D"/>
    <w:rsid w:val="46C035F8"/>
    <w:rsid w:val="4887486B"/>
    <w:rsid w:val="4D7D7DB9"/>
    <w:rsid w:val="4F6F4F2D"/>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D485437"/>
    <w:rsid w:val="6E995A95"/>
    <w:rsid w:val="6FA44DF9"/>
    <w:rsid w:val="7229607F"/>
    <w:rsid w:val="73D25D6E"/>
    <w:rsid w:val="740B40E6"/>
    <w:rsid w:val="75187F78"/>
    <w:rsid w:val="754E378A"/>
    <w:rsid w:val="75526590"/>
    <w:rsid w:val="75D7090C"/>
    <w:rsid w:val="77260526"/>
    <w:rsid w:val="77B72634"/>
    <w:rsid w:val="77F40DE4"/>
    <w:rsid w:val="7AF721A5"/>
    <w:rsid w:val="7BBC67DB"/>
    <w:rsid w:val="7CDC7A49"/>
    <w:rsid w:val="7DD37E5E"/>
    <w:rsid w:val="7E637C8C"/>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Hyperlink"/>
    <w:basedOn w:val="11"/>
    <w:qFormat/>
    <w:uiPriority w:val="0"/>
    <w:rPr>
      <w:color w:val="0000FF"/>
      <w:u w:val="none"/>
    </w:rPr>
  </w:style>
  <w:style w:type="character" w:customStyle="1" w:styleId="16">
    <w:name w:val="hover21"/>
    <w:basedOn w:val="11"/>
    <w:qFormat/>
    <w:uiPriority w:val="0"/>
    <w:rPr>
      <w:color w:val="557EE7"/>
    </w:rPr>
  </w:style>
  <w:style w:type="paragraph" w:customStyle="1" w:styleId="17">
    <w:name w:val="彩色列表 - 强调文字颜色 11"/>
    <w:basedOn w:val="1"/>
    <w:qFormat/>
    <w:uiPriority w:val="0"/>
    <w:pPr>
      <w:ind w:firstLine="420" w:firstLineChars="200"/>
    </w:pPr>
    <w:rPr>
      <w:rFonts w:ascii="Cambria" w:hAnsi="Cambria"/>
      <w:szCs w:val="22"/>
    </w:rPr>
  </w:style>
  <w:style w:type="character" w:customStyle="1" w:styleId="18">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9">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paragraph" w:styleId="20">
    <w:name w:val="List Paragraph"/>
    <w:basedOn w:val="1"/>
    <w:unhideWhenUsed/>
    <w:qFormat/>
    <w:uiPriority w:val="99"/>
    <w:pPr>
      <w:ind w:firstLine="420" w:firstLineChars="200"/>
    </w:pPr>
  </w:style>
  <w:style w:type="character" w:customStyle="1" w:styleId="21">
    <w:name w:val="批注框文本 字符"/>
    <w:basedOn w:val="11"/>
    <w:link w:val="5"/>
    <w:qFormat/>
    <w:uiPriority w:val="0"/>
    <w:rPr>
      <w:rFonts w:eastAsia="方正仿宋简体"/>
      <w:kern w:val="2"/>
      <w:sz w:val="18"/>
      <w:szCs w:val="18"/>
    </w:rPr>
  </w:style>
  <w:style w:type="paragraph" w:customStyle="1" w:styleId="22">
    <w:name w:val="Revision"/>
    <w:hidden/>
    <w:unhideWhenUsed/>
    <w:qFormat/>
    <w:uiPriority w:val="99"/>
    <w:rPr>
      <w:rFonts w:eastAsia="方正仿宋简体"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C91C9-9E9A-4BF6-AD99-90F2E7D156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933</Words>
  <Characters>5321</Characters>
  <Lines>44</Lines>
  <Paragraphs>12</Paragraphs>
  <TotalTime>25</TotalTime>
  <ScaleCrop>false</ScaleCrop>
  <LinksUpToDate>false</LinksUpToDate>
  <CharactersWithSpaces>6242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2022-03-18T13:50:00Z</dcterms:created>
  <dc:creator>XWB</dc:creator>
  <cp:lastModifiedBy>DELL</cp:lastModifiedBy>
  <cp:lastPrinted>2020-11-20T03:24:00Z</cp:lastPrinted>
  <dcterms:modified xsi:type="dcterms:W3CDTF">2022-03-21T05:32:25Z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A784B5511518423585245CE5ABD7D8D6</vt:lpwstr>
  </property>
</Properties>
</file>