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张煜轩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国际会计本科生第三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张煜轩</w:t>
      </w:r>
      <w:bookmarkStart w:id="1" w:name="_GoBack"/>
      <w:bookmarkEnd w:id="1"/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张煜轩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会计2203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生活委员、心理委员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eastAsia="仿宋"/>
                <w:sz w:val="24"/>
              </w:rPr>
              <w:t>日，经会计学院支部会议确定。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344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7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麦</cp:lastModifiedBy>
  <cp:lastPrinted>2014-11-05T01:24:00Z</cp:lastPrinted>
  <dcterms:modified xsi:type="dcterms:W3CDTF">2026-05-28T05:38:56Z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eyJoZGlkIjoiYjk5ODM0YmMxOWJiYWQyNDU4MGIzYWRmYTA0ZmI5NDciLCJ1c2VySWQiOiIxNzg2Nzc4NjQ0In0=</vt:lpwstr>
  </property>
  <property fmtid="{D5CDD505-2E9C-101B-9397-08002B2CF9AE}" pid="4" name="ICV">
    <vt:lpwstr>78DEC889661544FF96BE277F308EF8AE_13</vt:lpwstr>
  </property>
</Properties>
</file>