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1"/>
          <w:rFonts w:eastAsia="方正小标宋简体"/>
          <w:b/>
          <w:sz w:val="44"/>
          <w:szCs w:val="44"/>
        </w:rPr>
      </w:pPr>
    </w:p>
    <w:p>
      <w:pPr>
        <w:spacing w:after="156" w:line="560" w:lineRule="exact"/>
        <w:jc w:val="center"/>
        <w:textAlignment w:val="baseline"/>
        <w:rPr>
          <w:rStyle w:val="21"/>
          <w:rFonts w:ascii="方正小标宋简体" w:hAnsi="宋体" w:eastAsia="方正小标宋简体" w:cs="Times New Roman"/>
          <w:bCs/>
          <w:sz w:val="44"/>
          <w:szCs w:val="44"/>
        </w:rPr>
      </w:pPr>
    </w:p>
    <w:p>
      <w:pPr>
        <w:spacing w:after="156" w:line="560" w:lineRule="exact"/>
        <w:jc w:val="center"/>
        <w:textAlignment w:val="baseline"/>
        <w:rPr>
          <w:rStyle w:val="21"/>
          <w:rFonts w:ascii="方正小标宋简体" w:hAnsi="宋体" w:eastAsia="方正小标宋简体" w:cs="Times New Roman"/>
          <w:bCs/>
          <w:sz w:val="44"/>
          <w:szCs w:val="44"/>
        </w:rPr>
      </w:pPr>
      <w:bookmarkStart w:id="15" w:name="_GoBack"/>
      <w:bookmarkEnd w:id="15"/>
    </w:p>
    <w:p>
      <w:pPr>
        <w:spacing w:after="156" w:line="560" w:lineRule="exact"/>
        <w:jc w:val="center"/>
        <w:textAlignment w:val="baseline"/>
        <w:rPr>
          <w:rStyle w:val="21"/>
          <w:rFonts w:ascii="方正小标宋简体" w:hAnsi="宋体" w:eastAsia="方正小标宋简体" w:cs="Times New Roman"/>
          <w:bCs/>
          <w:sz w:val="44"/>
          <w:szCs w:val="44"/>
        </w:rPr>
      </w:pPr>
      <w:r>
        <w:rPr>
          <w:rStyle w:val="21"/>
          <w:rFonts w:hint="eastAsia" w:ascii="方正小标宋简体" w:hAnsi="宋体" w:eastAsia="方正小标宋简体" w:cs="Times New Roman"/>
          <w:bCs/>
          <w:sz w:val="44"/>
          <w:szCs w:val="44"/>
        </w:rPr>
        <w:t>浙江工商大学学位授权点建设年度报告</w:t>
      </w:r>
    </w:p>
    <w:p>
      <w:pPr>
        <w:spacing w:after="156" w:line="560" w:lineRule="exact"/>
        <w:jc w:val="center"/>
        <w:textAlignment w:val="baseline"/>
        <w:rPr>
          <w:rStyle w:val="21"/>
          <w:rFonts w:ascii="方正小标宋简体" w:hAnsi="宋体" w:eastAsia="方正小标宋简体" w:cs="Times New Roman"/>
          <w:bCs/>
          <w:sz w:val="44"/>
          <w:szCs w:val="44"/>
        </w:rPr>
      </w:pPr>
      <w:r>
        <w:rPr>
          <w:rStyle w:val="21"/>
          <w:rFonts w:ascii="方正小标宋简体" w:hAnsi="宋体" w:eastAsia="方正小标宋简体" w:cs="Times New Roman"/>
          <w:bCs/>
          <w:sz w:val="44"/>
          <w:szCs w:val="44"/>
        </w:rPr>
        <w:t>（</w:t>
      </w:r>
      <w:r>
        <w:rPr>
          <w:rStyle w:val="21"/>
          <w:rFonts w:hint="eastAsia" w:ascii="方正小标宋简体" w:hAnsi="宋体" w:eastAsia="方正小标宋简体" w:cs="Times New Roman"/>
          <w:bCs/>
          <w:sz w:val="44"/>
          <w:szCs w:val="44"/>
        </w:rPr>
        <w:t>202</w:t>
      </w:r>
      <w:r>
        <w:rPr>
          <w:rStyle w:val="21"/>
          <w:rFonts w:ascii="方正小标宋简体" w:hAnsi="宋体" w:eastAsia="方正小标宋简体" w:cs="Times New Roman"/>
          <w:bCs/>
          <w:sz w:val="44"/>
          <w:szCs w:val="44"/>
        </w:rPr>
        <w:t>1</w:t>
      </w:r>
      <w:r>
        <w:rPr>
          <w:rFonts w:hint="eastAsia" w:ascii="黑体" w:hAnsi="黑体" w:eastAsia="黑体" w:cs="黑体"/>
          <w:b/>
          <w:bCs/>
          <w:szCs w:val="32"/>
        </w:rPr>
        <w:t xml:space="preserve"> </w:t>
      </w:r>
      <w:r>
        <w:rPr>
          <w:rStyle w:val="21"/>
          <w:rFonts w:hint="eastAsia" w:ascii="方正小标宋简体" w:hAnsi="宋体" w:eastAsia="方正小标宋简体" w:cs="Times New Roman"/>
          <w:bCs/>
          <w:sz w:val="44"/>
          <w:szCs w:val="44"/>
        </w:rPr>
        <w:t>年</w:t>
      </w:r>
      <w:r>
        <w:rPr>
          <w:rStyle w:val="21"/>
          <w:rFonts w:ascii="方正小标宋简体" w:hAnsi="宋体" w:eastAsia="方正小标宋简体" w:cs="Times New Roman"/>
          <w:bCs/>
          <w:sz w:val="44"/>
          <w:szCs w:val="44"/>
        </w:rPr>
        <w:t>）</w:t>
      </w:r>
    </w:p>
    <w:p>
      <w:pPr>
        <w:spacing w:after="156" w:line="560" w:lineRule="exact"/>
        <w:jc w:val="center"/>
        <w:textAlignment w:val="baseline"/>
        <w:rPr>
          <w:rStyle w:val="21"/>
          <w:rFonts w:ascii="方正小标宋简体" w:hAnsi="宋体" w:eastAsia="方正小标宋简体" w:cs="Times New Roman"/>
          <w:bCs/>
          <w:sz w:val="44"/>
          <w:szCs w:val="44"/>
        </w:rPr>
      </w:pPr>
    </w:p>
    <w:p>
      <w:pPr>
        <w:snapToGrid w:val="0"/>
        <w:jc w:val="center"/>
        <w:textAlignment w:val="baseline"/>
        <w:rPr>
          <w:rStyle w:val="21"/>
          <w:rFonts w:ascii="Times New Roman" w:hAnsi="Times New Roman" w:eastAsia="宋体"/>
          <w:b/>
          <w:sz w:val="48"/>
          <w:szCs w:val="20"/>
        </w:rPr>
      </w:pPr>
    </w:p>
    <w:p>
      <w:pPr>
        <w:snapToGrid w:val="0"/>
        <w:jc w:val="center"/>
        <w:textAlignment w:val="baseline"/>
        <w:rPr>
          <w:rStyle w:val="21"/>
          <w:rFonts w:ascii="Times New Roman" w:hAnsi="Times New Roman" w:eastAsia="宋体"/>
          <w:b/>
          <w:sz w:val="48"/>
          <w:szCs w:val="20"/>
        </w:rPr>
      </w:pPr>
    </w:p>
    <w:p>
      <w:pPr>
        <w:snapToGrid w:val="0"/>
        <w:spacing w:line="300" w:lineRule="auto"/>
        <w:jc w:val="center"/>
        <w:textAlignment w:val="baseline"/>
        <w:rPr>
          <w:rStyle w:val="21"/>
          <w:rFonts w:ascii="Times New Roman" w:hAnsi="Times New Roman" w:eastAsia="宋体"/>
          <w:b/>
          <w:szCs w:val="32"/>
        </w:rPr>
      </w:pPr>
    </w:p>
    <w:tbl>
      <w:tblPr>
        <w:tblStyle w:val="11"/>
        <w:tblW w:w="6430"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767"/>
        <w:gridCol w:w="4663"/>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restart"/>
            <w:tcBorders>
              <w:top w:val="nil"/>
              <w:left w:val="nil"/>
              <w:bottom w:val="single" w:color="000000" w:sz="4" w:space="0"/>
              <w:right w:val="single" w:color="000000" w:sz="4" w:space="0"/>
            </w:tcBorders>
            <w:vAlign w:val="center"/>
          </w:tcPr>
          <w:p>
            <w:pPr>
              <w:snapToGrid w:val="0"/>
              <w:spacing w:line="240" w:lineRule="atLeast"/>
              <w:jc w:val="center"/>
              <w:textAlignment w:val="baseline"/>
              <w:rPr>
                <w:rStyle w:val="21"/>
                <w:rFonts w:ascii="Times New Roman" w:hAnsi="Times New Roman" w:eastAsia="宋体"/>
                <w:b/>
                <w:spacing w:val="-10"/>
                <w:szCs w:val="32"/>
              </w:rPr>
            </w:pPr>
            <w:r>
              <w:rPr>
                <w:rStyle w:val="21"/>
                <w:rFonts w:hint="eastAsia" w:ascii="Times New Roman" w:hAnsi="Times New Roman" w:eastAsia="宋体"/>
                <w:b/>
                <w:spacing w:val="-10"/>
                <w:szCs w:val="32"/>
              </w:rPr>
              <w:t>学院</w:t>
            </w:r>
          </w:p>
          <w:p>
            <w:pPr>
              <w:snapToGrid w:val="0"/>
              <w:spacing w:line="240" w:lineRule="atLeast"/>
              <w:jc w:val="center"/>
              <w:textAlignment w:val="baseline"/>
              <w:rPr>
                <w:rStyle w:val="21"/>
                <w:rFonts w:ascii="Times New Roman" w:hAnsi="Times New Roman" w:eastAsia="宋体"/>
                <w:b/>
                <w:spacing w:val="-10"/>
                <w:szCs w:val="32"/>
              </w:rPr>
            </w:pPr>
            <w:r>
              <w:rPr>
                <w:rStyle w:val="21"/>
                <w:rFonts w:ascii="Times New Roman" w:hAnsi="Times New Roman" w:eastAsia="宋体"/>
                <w:b/>
                <w:spacing w:val="-10"/>
                <w:szCs w:val="32"/>
              </w:rPr>
              <w:t>（公章）</w:t>
            </w:r>
          </w:p>
        </w:tc>
        <w:tc>
          <w:tcPr>
            <w:tcW w:w="4663" w:type="dxa"/>
            <w:tcBorders>
              <w:top w:val="nil"/>
              <w:left w:val="single" w:color="000000" w:sz="4" w:space="0"/>
              <w:bottom w:val="single" w:color="000000" w:sz="4" w:space="0"/>
              <w:right w:val="nil"/>
            </w:tcBorders>
            <w:vAlign w:val="center"/>
          </w:tcPr>
          <w:p>
            <w:pPr>
              <w:snapToGrid w:val="0"/>
              <w:spacing w:line="300" w:lineRule="auto"/>
              <w:textAlignment w:val="baseline"/>
              <w:rPr>
                <w:rStyle w:val="21"/>
                <w:rFonts w:ascii="Times New Roman" w:hAnsi="Times New Roman" w:eastAsia="宋体"/>
                <w:b/>
                <w:spacing w:val="-10"/>
                <w:szCs w:val="32"/>
              </w:rPr>
            </w:pPr>
            <w:r>
              <w:rPr>
                <w:rStyle w:val="21"/>
                <w:rFonts w:hint="eastAsia" w:ascii="Times New Roman" w:hAnsi="Times New Roman" w:eastAsia="宋体"/>
                <w:b/>
                <w:spacing w:val="-10"/>
                <w:szCs w:val="32"/>
              </w:rPr>
              <w:t>学科</w:t>
            </w:r>
            <w:r>
              <w:rPr>
                <w:rStyle w:val="21"/>
                <w:rFonts w:ascii="Times New Roman" w:hAnsi="Times New Roman" w:eastAsia="宋体"/>
                <w:b/>
                <w:spacing w:val="-10"/>
                <w:szCs w:val="32"/>
              </w:rPr>
              <w:t>名称：</w:t>
            </w:r>
            <w:r>
              <w:rPr>
                <w:rStyle w:val="21"/>
                <w:rFonts w:hint="eastAsia" w:ascii="Times New Roman" w:hAnsi="Times New Roman" w:eastAsia="宋体"/>
                <w:b/>
                <w:spacing w:val="-10"/>
                <w:szCs w:val="32"/>
              </w:rPr>
              <w:t>审计</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6" w:hRule="atLeast"/>
          <w:jc w:val="center"/>
        </w:trPr>
        <w:tc>
          <w:tcPr>
            <w:tcW w:w="1767" w:type="dxa"/>
            <w:vMerge w:val="continue"/>
            <w:tcBorders>
              <w:top w:val="single" w:color="000000" w:sz="4" w:space="0"/>
              <w:left w:val="nil"/>
              <w:bottom w:val="nil"/>
              <w:right w:val="single" w:color="000000" w:sz="4" w:space="0"/>
            </w:tcBorders>
            <w:vAlign w:val="center"/>
          </w:tcPr>
          <w:p>
            <w:pPr>
              <w:snapToGrid w:val="0"/>
              <w:spacing w:line="300" w:lineRule="auto"/>
              <w:jc w:val="center"/>
              <w:textAlignment w:val="baseline"/>
              <w:rPr>
                <w:rStyle w:val="21"/>
                <w:rFonts w:ascii="Times New Roman" w:hAnsi="Times New Roman" w:eastAsia="宋体"/>
                <w:b/>
                <w:spacing w:val="-10"/>
                <w:szCs w:val="32"/>
              </w:rPr>
            </w:pPr>
          </w:p>
        </w:tc>
        <w:tc>
          <w:tcPr>
            <w:tcW w:w="4663" w:type="dxa"/>
            <w:tcBorders>
              <w:top w:val="single" w:color="000000" w:sz="4" w:space="0"/>
              <w:left w:val="single" w:color="000000" w:sz="4" w:space="0"/>
              <w:bottom w:val="nil"/>
              <w:right w:val="nil"/>
            </w:tcBorders>
            <w:vAlign w:val="center"/>
          </w:tcPr>
          <w:p>
            <w:pPr>
              <w:snapToGrid w:val="0"/>
              <w:spacing w:line="300" w:lineRule="auto"/>
              <w:textAlignment w:val="baseline"/>
              <w:rPr>
                <w:rStyle w:val="21"/>
                <w:rFonts w:ascii="Times New Roman" w:hAnsi="Times New Roman" w:eastAsia="宋体"/>
                <w:b/>
                <w:spacing w:val="-10"/>
                <w:szCs w:val="32"/>
              </w:rPr>
            </w:pPr>
            <w:r>
              <w:rPr>
                <w:rStyle w:val="21"/>
                <w:rFonts w:hint="eastAsia" w:ascii="Times New Roman" w:hAnsi="Times New Roman" w:eastAsia="宋体"/>
                <w:b/>
                <w:spacing w:val="-10"/>
                <w:szCs w:val="32"/>
              </w:rPr>
              <w:t>学科</w:t>
            </w:r>
            <w:r>
              <w:rPr>
                <w:rStyle w:val="21"/>
                <w:rFonts w:ascii="Times New Roman" w:hAnsi="Times New Roman" w:eastAsia="宋体"/>
                <w:b/>
                <w:spacing w:val="-10"/>
                <w:szCs w:val="32"/>
              </w:rPr>
              <w:t>代码：</w:t>
            </w:r>
            <w:r>
              <w:rPr>
                <w:rStyle w:val="21"/>
                <w:rFonts w:hint="eastAsia" w:ascii="Times New Roman" w:hAnsi="Times New Roman" w:eastAsia="宋体"/>
                <w:b/>
                <w:spacing w:val="-10"/>
                <w:szCs w:val="32"/>
              </w:rPr>
              <w:t>0</w:t>
            </w:r>
            <w:r>
              <w:rPr>
                <w:rStyle w:val="21"/>
                <w:rFonts w:ascii="Times New Roman" w:hAnsi="Times New Roman" w:eastAsia="宋体"/>
                <w:b/>
                <w:spacing w:val="-10"/>
                <w:szCs w:val="32"/>
              </w:rPr>
              <w:t>257</w:t>
            </w:r>
          </w:p>
        </w:tc>
      </w:tr>
    </w:tbl>
    <w:p>
      <w:pPr>
        <w:snapToGrid w:val="0"/>
        <w:spacing w:line="300" w:lineRule="auto"/>
        <w:jc w:val="center"/>
        <w:textAlignment w:val="baseline"/>
        <w:rPr>
          <w:rStyle w:val="21"/>
          <w:rFonts w:ascii="Times New Roman" w:hAnsi="Times New Roman" w:eastAsia="宋体"/>
          <w:b/>
          <w:sz w:val="48"/>
          <w:szCs w:val="20"/>
        </w:rPr>
      </w:pPr>
    </w:p>
    <w:p>
      <w:pPr>
        <w:spacing w:line="560" w:lineRule="exact"/>
        <w:jc w:val="center"/>
        <w:textAlignment w:val="baseline"/>
        <w:rPr>
          <w:rStyle w:val="21"/>
          <w:rFonts w:ascii="Times New Roman" w:hAnsi="Times New Roman" w:eastAsia="楷体_GB2312"/>
          <w:b/>
          <w:sz w:val="30"/>
          <w:szCs w:val="30"/>
        </w:rPr>
      </w:pPr>
    </w:p>
    <w:p>
      <w:pPr>
        <w:pStyle w:val="22"/>
        <w:widowControl/>
        <w:rPr>
          <w:rStyle w:val="21"/>
          <w:rFonts w:ascii="黑体" w:hAnsi="黑体" w:eastAsia="黑体"/>
          <w:color w:val="auto"/>
          <w:szCs w:val="32"/>
        </w:rPr>
      </w:pPr>
    </w:p>
    <w:p>
      <w:pPr>
        <w:rPr>
          <w:rStyle w:val="21"/>
          <w:rFonts w:ascii="黑体" w:hAnsi="黑体" w:eastAsia="黑体"/>
          <w:szCs w:val="32"/>
        </w:rPr>
      </w:pPr>
    </w:p>
    <w:p>
      <w:pPr>
        <w:pStyle w:val="2"/>
        <w:rPr>
          <w:rStyle w:val="21"/>
          <w:rFonts w:ascii="黑体" w:hAnsi="黑体" w:eastAsia="黑体"/>
          <w:color w:val="auto"/>
          <w:szCs w:val="32"/>
        </w:rPr>
      </w:pPr>
    </w:p>
    <w:p/>
    <w:p/>
    <w:p>
      <w:pPr>
        <w:spacing w:line="560" w:lineRule="exact"/>
        <w:jc w:val="center"/>
        <w:textAlignment w:val="baseline"/>
        <w:rPr>
          <w:rStyle w:val="21"/>
          <w:rFonts w:ascii="Times New Roman" w:hAnsi="Times New Roman" w:eastAsia="楷体_GB2312"/>
          <w:b/>
          <w:sz w:val="30"/>
          <w:szCs w:val="30"/>
        </w:rPr>
      </w:pPr>
    </w:p>
    <w:p>
      <w:pPr>
        <w:spacing w:line="560" w:lineRule="exact"/>
        <w:jc w:val="center"/>
        <w:textAlignment w:val="baseline"/>
        <w:rPr>
          <w:rStyle w:val="21"/>
          <w:rFonts w:ascii="黑体" w:hAnsi="黑体" w:eastAsia="黑体"/>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ascii="Times New Roman" w:hAnsi="Times New Roman" w:eastAsia="楷体_GB2312"/>
          <w:b/>
          <w:szCs w:val="32"/>
        </w:rPr>
        <w:t>2022</w:t>
      </w:r>
      <w:r>
        <w:rPr>
          <w:rStyle w:val="21"/>
          <w:rFonts w:hint="eastAsia" w:ascii="Times New Roman" w:hAnsi="Times New Roman" w:eastAsia="楷体_GB2312"/>
          <w:b/>
          <w:szCs w:val="32"/>
        </w:rPr>
        <w:t xml:space="preserve"> </w:t>
      </w:r>
      <w:r>
        <w:rPr>
          <w:rStyle w:val="21"/>
          <w:rFonts w:ascii="Times New Roman" w:hAnsi="Times New Roman" w:eastAsia="楷体_GB2312"/>
          <w:b/>
          <w:szCs w:val="32"/>
        </w:rPr>
        <w:t>年  1月  17日</w:t>
      </w:r>
    </w:p>
    <w:p>
      <w:pPr>
        <w:widowControl/>
        <w:spacing w:line="500" w:lineRule="exact"/>
        <w:ind w:firstLine="723" w:firstLineChars="200"/>
        <w:textAlignment w:val="baseline"/>
        <w:rPr>
          <w:rStyle w:val="21"/>
          <w:rFonts w:ascii="方正仿宋简体" w:hAnsi="方正仿宋简体" w:cs="方正仿宋简体"/>
          <w:b/>
          <w:bCs/>
          <w:sz w:val="40"/>
          <w:szCs w:val="40"/>
        </w:rPr>
      </w:pPr>
      <w:r>
        <w:rPr>
          <w:rStyle w:val="21"/>
          <w:rFonts w:hint="eastAsia" w:ascii="黑体" w:hAnsi="黑体" w:eastAsia="黑体" w:cs="黑体"/>
          <w:b/>
          <w:bCs/>
          <w:sz w:val="36"/>
          <w:szCs w:val="36"/>
        </w:rPr>
        <w:t>一、</w:t>
      </w:r>
      <w:r>
        <w:rPr>
          <w:rStyle w:val="21"/>
          <w:rFonts w:hint="eastAsia" w:ascii="黑体" w:hAnsi="黑体" w:eastAsia="黑体" w:cs="黑体"/>
          <w:b/>
          <w:bCs/>
          <w:sz w:val="40"/>
          <w:szCs w:val="40"/>
        </w:rPr>
        <w:t>总体概况</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（一）学位授权点基本情况</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浙江工商大学是全国首批获得审计硕士专业学位授予权的32所院校之一，也是浙江省首批获得审计硕士专业学位授予权的高等院校。浙江工商大学</w:t>
      </w:r>
      <w:r>
        <w:rPr>
          <w:rFonts w:hint="eastAsia" w:ascii="仿宋" w:hAnsi="仿宋" w:eastAsia="仿宋" w:cs="方正仿宋简体"/>
        </w:rPr>
        <w:t>会计学院是首批国家级管理型财会人才培养模式创新实验区、国家级特色专业和国家“十二五”首批专业综合改革试点区，是</w:t>
      </w:r>
      <w:r>
        <w:rPr>
          <w:rStyle w:val="21"/>
          <w:rFonts w:hint="eastAsia" w:ascii="仿宋" w:hAnsi="仿宋" w:eastAsia="仿宋" w:cs="方正仿宋简体"/>
          <w:szCs w:val="32"/>
        </w:rPr>
        <w:t>浙江省最早拥有本科到博士完整审计人才培养体系的单位，所依托的工商管理学科在教育部第四轮学科评估中获B+。</w:t>
      </w:r>
      <w:bookmarkStart w:id="0" w:name="_Hlk92982145"/>
      <w:r>
        <w:rPr>
          <w:rStyle w:val="21"/>
          <w:rFonts w:hint="eastAsia" w:ascii="仿宋" w:hAnsi="仿宋" w:eastAsia="仿宋" w:cs="方正仿宋简体"/>
          <w:szCs w:val="32"/>
        </w:rPr>
        <w:t>本专业学位依托浙江工商大学会计学院</w:t>
      </w:r>
      <w:r>
        <w:rPr>
          <w:rFonts w:ascii="仿宋" w:hAnsi="仿宋" w:eastAsia="仿宋" w:cs="方正仿宋简体"/>
        </w:rPr>
        <w:t>深厚底蕴和</w:t>
      </w:r>
      <w:r>
        <w:rPr>
          <w:rFonts w:hint="eastAsia" w:ascii="仿宋" w:hAnsi="仿宋" w:eastAsia="仿宋" w:cs="方正仿宋简体"/>
        </w:rPr>
        <w:t>特色基础，积极响应新时代下国家和社会需求，同时结合长三角一体化区域经济发展战略发展的实际人才需求，旨在培养具有政治素养、国际视野、创新精神和大数据审计技术的“管理型高级审计人才”。</w:t>
      </w:r>
    </w:p>
    <w:bookmarkEnd w:id="0"/>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（二）学科建设情况</w:t>
      </w:r>
    </w:p>
    <w:p>
      <w:pPr>
        <w:pStyle w:val="2"/>
        <w:spacing w:line="500" w:lineRule="exact"/>
        <w:rPr>
          <w:rFonts w:ascii="仿宋" w:hAnsi="仿宋" w:eastAsia="仿宋" w:cs="方正仿宋简体"/>
        </w:rPr>
      </w:pPr>
      <w:r>
        <w:rPr>
          <w:rStyle w:val="21"/>
          <w:rFonts w:hint="eastAsia" w:ascii="仿宋" w:hAnsi="仿宋" w:eastAsia="仿宋" w:cs="方正仿宋简体"/>
          <w:szCs w:val="32"/>
        </w:rPr>
        <w:t>本专业学位立足习近平总书记赋予浙江建设“重要窗口”的新目标、新使命，积极落实“坚持把立德树人成效作为根本标准”、“落实改革学生评价，促进德智体美劳全面发展”</w:t>
      </w:r>
      <w:r>
        <w:t>,</w:t>
      </w:r>
      <w:r>
        <w:rPr>
          <w:rStyle w:val="21"/>
          <w:rFonts w:hint="eastAsia" w:ascii="仿宋" w:hAnsi="仿宋" w:eastAsia="仿宋" w:cs="方正仿宋简体"/>
          <w:szCs w:val="32"/>
        </w:rPr>
        <w:t>专业实力在浙江省属高校中占据领先地位。本专业学位2020年入选国家级一流专业建设点；2016-2019年武书连专业排名一直是A+级专业，四年均为省属高校第一，连续三年为全国第三；邱均平（中国科教网）专业排名2018-2021四年内从（五星-）提升为（五星）专业。</w:t>
      </w:r>
      <w:r>
        <w:rPr>
          <w:rFonts w:ascii="仿宋" w:hAnsi="仿宋" w:eastAsia="仿宋" w:cs="方正仿宋简体"/>
        </w:rPr>
        <w:t>2021年软科中国大学专业排名中，本专业全国排名第三，评级A+</w:t>
      </w:r>
      <w:r>
        <w:rPr>
          <w:rFonts w:hint="eastAsia" w:ascii="仿宋" w:hAnsi="仿宋" w:eastAsia="仿宋" w:cs="方正仿宋简体"/>
        </w:rPr>
        <w:t>。</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（三）研究生招生</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审计专业硕士自正式招生以来，招生人数总体保持增长趋势。</w:t>
      </w:r>
      <w:r>
        <w:rPr>
          <w:rFonts w:hint="eastAsia" w:ascii="仿宋" w:hAnsi="仿宋" w:eastAsia="仿宋" w:cs="方正仿宋简体"/>
        </w:rPr>
        <w:t>与2</w:t>
      </w:r>
      <w:r>
        <w:rPr>
          <w:rFonts w:ascii="仿宋" w:hAnsi="仿宋" w:eastAsia="仿宋" w:cs="方正仿宋简体"/>
        </w:rPr>
        <w:t>020</w:t>
      </w:r>
      <w:r>
        <w:rPr>
          <w:rFonts w:hint="eastAsia" w:ascii="仿宋" w:hAnsi="仿宋" w:eastAsia="仿宋" w:cs="方正仿宋简体"/>
        </w:rPr>
        <w:t>年相比，审计专业硕士研究生招生人数以及录取分数线都有所提升。</w:t>
      </w:r>
      <w:r>
        <w:rPr>
          <w:rStyle w:val="21"/>
          <w:rFonts w:hint="eastAsia" w:ascii="仿宋" w:hAnsi="仿宋" w:eastAsia="仿宋" w:cs="方正仿宋简体"/>
          <w:szCs w:val="32"/>
        </w:rPr>
        <w:t>2</w:t>
      </w:r>
      <w:r>
        <w:rPr>
          <w:rStyle w:val="21"/>
          <w:rFonts w:ascii="仿宋" w:hAnsi="仿宋" w:eastAsia="仿宋" w:cs="方正仿宋简体"/>
          <w:szCs w:val="32"/>
        </w:rPr>
        <w:t>021年，</w:t>
      </w:r>
      <w:bookmarkStart w:id="1" w:name="_Hlk92798447"/>
      <w:r>
        <w:rPr>
          <w:rStyle w:val="21"/>
          <w:rFonts w:hint="eastAsia" w:ascii="仿宋" w:hAnsi="仿宋" w:eastAsia="仿宋" w:cs="方正仿宋简体"/>
          <w:szCs w:val="32"/>
        </w:rPr>
        <w:t>审计专业硕士研究生招生人数为</w:t>
      </w:r>
      <w:r>
        <w:rPr>
          <w:rStyle w:val="21"/>
          <w:rFonts w:ascii="仿宋" w:hAnsi="仿宋" w:eastAsia="仿宋" w:cs="方正仿宋简体"/>
          <w:szCs w:val="32"/>
        </w:rPr>
        <w:t>32</w:t>
      </w:r>
      <w:r>
        <w:rPr>
          <w:rStyle w:val="21"/>
          <w:rFonts w:hint="eastAsia" w:ascii="仿宋" w:hAnsi="仿宋" w:eastAsia="仿宋" w:cs="方正仿宋简体"/>
          <w:szCs w:val="32"/>
        </w:rPr>
        <w:t>人。</w:t>
      </w:r>
      <w:bookmarkStart w:id="2" w:name="_Hlk76070569"/>
      <w:r>
        <w:rPr>
          <w:rStyle w:val="21"/>
          <w:rFonts w:hint="eastAsia" w:ascii="仿宋" w:hAnsi="仿宋" w:eastAsia="仿宋" w:cs="方正仿宋简体"/>
          <w:szCs w:val="32"/>
        </w:rPr>
        <w:t>录取分数线为2</w:t>
      </w:r>
      <w:r>
        <w:rPr>
          <w:rStyle w:val="21"/>
          <w:rFonts w:ascii="仿宋" w:hAnsi="仿宋" w:eastAsia="仿宋" w:cs="方正仿宋简体"/>
          <w:szCs w:val="32"/>
        </w:rPr>
        <w:t>22</w:t>
      </w:r>
      <w:r>
        <w:rPr>
          <w:rStyle w:val="21"/>
          <w:rFonts w:hint="eastAsia" w:ascii="仿宋" w:hAnsi="仿宋" w:eastAsia="仿宋" w:cs="方正仿宋简体"/>
          <w:szCs w:val="32"/>
        </w:rPr>
        <w:t>分，</w:t>
      </w:r>
      <w:bookmarkEnd w:id="2"/>
      <w:r>
        <w:rPr>
          <w:rStyle w:val="21"/>
          <w:rFonts w:hint="eastAsia" w:ascii="仿宋" w:hAnsi="仿宋" w:eastAsia="仿宋" w:cs="方正仿宋简体"/>
          <w:szCs w:val="32"/>
        </w:rPr>
        <w:t>其中录取最高分为2</w:t>
      </w:r>
      <w:r>
        <w:rPr>
          <w:rStyle w:val="21"/>
          <w:rFonts w:ascii="仿宋" w:hAnsi="仿宋" w:eastAsia="仿宋" w:cs="方正仿宋简体"/>
          <w:szCs w:val="32"/>
        </w:rPr>
        <w:t>58</w:t>
      </w:r>
      <w:r>
        <w:rPr>
          <w:rStyle w:val="21"/>
          <w:rFonts w:hint="eastAsia" w:ascii="仿宋" w:hAnsi="仿宋" w:eastAsia="仿宋" w:cs="方正仿宋简体"/>
          <w:szCs w:val="32"/>
        </w:rPr>
        <w:t>分，</w:t>
      </w:r>
      <w:bookmarkEnd w:id="1"/>
      <w:r>
        <w:rPr>
          <w:rStyle w:val="21"/>
          <w:rFonts w:hint="eastAsia" w:ascii="仿宋" w:hAnsi="仿宋" w:eastAsia="仿宋" w:cs="方正仿宋简体"/>
          <w:szCs w:val="32"/>
        </w:rPr>
        <w:t>一志愿录取率100%。</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（四）在读、毕业、学位授予及就业基本状况</w:t>
      </w:r>
    </w:p>
    <w:p>
      <w:pPr>
        <w:pStyle w:val="2"/>
        <w:spacing w:line="500" w:lineRule="exact"/>
        <w:rPr>
          <w:rFonts w:ascii="仿宋" w:hAnsi="仿宋" w:eastAsia="仿宋" w:cs="方正仿宋简体"/>
        </w:rPr>
      </w:pPr>
      <w:bookmarkStart w:id="3" w:name="_Hlk76070589"/>
      <w:r>
        <w:rPr>
          <w:rStyle w:val="21"/>
          <w:rFonts w:hint="eastAsia" w:ascii="仿宋" w:hAnsi="仿宋" w:eastAsia="仿宋" w:cs="方正仿宋简体"/>
          <w:szCs w:val="32"/>
        </w:rPr>
        <w:t>202</w:t>
      </w:r>
      <w:r>
        <w:rPr>
          <w:rStyle w:val="21"/>
          <w:rFonts w:ascii="仿宋" w:hAnsi="仿宋" w:eastAsia="仿宋" w:cs="方正仿宋简体"/>
          <w:szCs w:val="32"/>
        </w:rPr>
        <w:t>1</w:t>
      </w:r>
      <w:r>
        <w:rPr>
          <w:rStyle w:val="21"/>
          <w:rFonts w:hint="eastAsia" w:ascii="仿宋" w:hAnsi="仿宋" w:eastAsia="仿宋" w:cs="方正仿宋简体"/>
          <w:szCs w:val="32"/>
        </w:rPr>
        <w:t>年审计专业硕士在读学生</w:t>
      </w:r>
      <w:r>
        <w:rPr>
          <w:rStyle w:val="21"/>
          <w:rFonts w:ascii="仿宋" w:hAnsi="仿宋" w:eastAsia="仿宋" w:cs="方正仿宋简体"/>
          <w:szCs w:val="32"/>
        </w:rPr>
        <w:t>98</w:t>
      </w:r>
      <w:r>
        <w:rPr>
          <w:rStyle w:val="21"/>
          <w:rFonts w:hint="eastAsia" w:ascii="仿宋" w:hAnsi="仿宋" w:eastAsia="仿宋" w:cs="方正仿宋简体"/>
          <w:szCs w:val="32"/>
        </w:rPr>
        <w:t>人，毕业学生2</w:t>
      </w:r>
      <w:r>
        <w:rPr>
          <w:rStyle w:val="21"/>
          <w:rFonts w:ascii="仿宋" w:hAnsi="仿宋" w:eastAsia="仿宋" w:cs="方正仿宋简体"/>
          <w:szCs w:val="32"/>
        </w:rPr>
        <w:t>5</w:t>
      </w:r>
      <w:r>
        <w:rPr>
          <w:rStyle w:val="21"/>
          <w:rFonts w:hint="eastAsia" w:ascii="仿宋" w:hAnsi="仿宋" w:eastAsia="仿宋" w:cs="方正仿宋简体"/>
          <w:szCs w:val="32"/>
        </w:rPr>
        <w:t>人、授予学位2</w:t>
      </w:r>
      <w:r>
        <w:rPr>
          <w:rStyle w:val="21"/>
          <w:rFonts w:ascii="仿宋" w:hAnsi="仿宋" w:eastAsia="仿宋" w:cs="方正仿宋简体"/>
          <w:szCs w:val="32"/>
        </w:rPr>
        <w:t>5</w:t>
      </w:r>
      <w:r>
        <w:rPr>
          <w:rStyle w:val="21"/>
          <w:rFonts w:hint="eastAsia" w:ascii="仿宋" w:hAnsi="仿宋" w:eastAsia="仿宋" w:cs="方正仿宋简体"/>
          <w:szCs w:val="32"/>
        </w:rPr>
        <w:t>人。</w:t>
      </w:r>
      <w:bookmarkEnd w:id="3"/>
      <w:r>
        <w:rPr>
          <w:rStyle w:val="21"/>
          <w:rFonts w:hint="eastAsia" w:ascii="仿宋" w:hAnsi="仿宋" w:eastAsia="仿宋" w:cs="方正仿宋简体"/>
          <w:szCs w:val="32"/>
        </w:rPr>
        <w:t>所有毕业生均已就业</w:t>
      </w:r>
      <w:r>
        <w:rPr>
          <w:rStyle w:val="21"/>
          <w:rFonts w:ascii="仿宋" w:hAnsi="仿宋" w:eastAsia="仿宋" w:cs="方正仿宋简体"/>
          <w:szCs w:val="32"/>
        </w:rPr>
        <w:t>，就业去向</w:t>
      </w:r>
      <w:r>
        <w:rPr>
          <w:rStyle w:val="21"/>
          <w:rFonts w:hint="eastAsia" w:ascii="仿宋" w:hAnsi="仿宋" w:eastAsia="仿宋" w:cs="方正仿宋简体"/>
          <w:szCs w:val="32"/>
        </w:rPr>
        <w:t>包括</w:t>
      </w:r>
      <w:r>
        <w:rPr>
          <w:rFonts w:hint="eastAsia" w:ascii="仿宋" w:hAnsi="仿宋" w:eastAsia="仿宋" w:cs="方正仿宋简体"/>
        </w:rPr>
        <w:t>政府及事业单位（含高校）、国有企业、大中型民营企业等。</w:t>
      </w:r>
    </w:p>
    <w:p>
      <w:pPr>
        <w:pStyle w:val="2"/>
        <w:spacing w:before="156" w:beforeLines="50" w:after="156" w:afterLines="50" w:line="500" w:lineRule="exact"/>
        <w:rPr>
          <w:rStyle w:val="21"/>
          <w:rFonts w:ascii="方正仿宋简体" w:hAnsi="方正仿宋简体" w:cs="方正仿宋简体"/>
          <w:szCs w:val="32"/>
        </w:rPr>
      </w:pPr>
      <w:r>
        <w:rPr>
          <w:rStyle w:val="21"/>
          <w:rFonts w:hint="eastAsia" w:ascii="方正仿宋简体" w:hAnsi="方正仿宋简体" w:cs="方正仿宋简体"/>
          <w:color w:val="auto"/>
          <w:szCs w:val="32"/>
        </w:rPr>
        <w:t>（五）研究生导师状况</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本专业学位严格按照</w:t>
      </w:r>
      <w:r>
        <w:rPr>
          <w:rFonts w:hint="eastAsia" w:ascii="仿宋" w:hAnsi="仿宋" w:eastAsia="仿宋" w:cs="方正仿宋简体"/>
        </w:rPr>
        <w:t>《浙江工商大学硕士生指导教师选聘工作管理办法》的规定，以导师的师德师风、学术研究能力等指标为引领，以强化导师岗位意识、明确岗位职责为原则，完善问责制度，明确导师在研究生培养过程中第一责任人的位置，充分调动导师育人的积极性，严格实施导师动态遴选制度。</w:t>
      </w:r>
      <w:r>
        <w:rPr>
          <w:rStyle w:val="21"/>
          <w:rFonts w:hint="eastAsia" w:ascii="仿宋" w:hAnsi="仿宋" w:eastAsia="仿宋" w:cs="方正仿宋简体"/>
          <w:szCs w:val="32"/>
        </w:rPr>
        <w:t>截至</w:t>
      </w:r>
      <w:r>
        <w:rPr>
          <w:rStyle w:val="21"/>
          <w:rFonts w:ascii="仿宋" w:hAnsi="仿宋" w:eastAsia="仿宋" w:cs="方正仿宋简体"/>
          <w:szCs w:val="32"/>
        </w:rPr>
        <w:t>2021</w:t>
      </w:r>
      <w:r>
        <w:rPr>
          <w:rStyle w:val="21"/>
          <w:rFonts w:hint="eastAsia" w:ascii="仿宋" w:hAnsi="仿宋" w:eastAsia="仿宋" w:cs="方正仿宋简体"/>
          <w:szCs w:val="32"/>
        </w:rPr>
        <w:t>年底，本专业学位现有博士生导师</w:t>
      </w:r>
      <w:r>
        <w:rPr>
          <w:rStyle w:val="21"/>
          <w:rFonts w:ascii="仿宋" w:hAnsi="仿宋" w:eastAsia="仿宋" w:cs="方正仿宋简体"/>
          <w:szCs w:val="32"/>
        </w:rPr>
        <w:t>5人，硕士生导师42</w:t>
      </w:r>
      <w:r>
        <w:rPr>
          <w:rStyle w:val="21"/>
          <w:rFonts w:hint="eastAsia" w:ascii="仿宋" w:hAnsi="仿宋" w:eastAsia="仿宋" w:cs="方正仿宋简体"/>
          <w:szCs w:val="32"/>
        </w:rPr>
        <w:t>人。其中教授1</w:t>
      </w:r>
      <w:r>
        <w:rPr>
          <w:rStyle w:val="21"/>
          <w:rFonts w:ascii="仿宋" w:hAnsi="仿宋" w:eastAsia="仿宋" w:cs="方正仿宋简体"/>
          <w:szCs w:val="32"/>
        </w:rPr>
        <w:t>5</w:t>
      </w:r>
      <w:r>
        <w:rPr>
          <w:rStyle w:val="21"/>
          <w:rFonts w:hint="eastAsia" w:ascii="仿宋" w:hAnsi="仿宋" w:eastAsia="仿宋" w:cs="方正仿宋简体"/>
          <w:szCs w:val="32"/>
        </w:rPr>
        <w:t>人，副教授2</w:t>
      </w:r>
      <w:r>
        <w:rPr>
          <w:rStyle w:val="21"/>
          <w:rFonts w:ascii="仿宋" w:hAnsi="仿宋" w:eastAsia="仿宋" w:cs="方正仿宋简体"/>
          <w:szCs w:val="32"/>
        </w:rPr>
        <w:t>4</w:t>
      </w:r>
      <w:r>
        <w:rPr>
          <w:rStyle w:val="21"/>
          <w:rFonts w:hint="eastAsia" w:ascii="仿宋" w:hAnsi="仿宋" w:eastAsia="仿宋" w:cs="方正仿宋简体"/>
          <w:szCs w:val="32"/>
        </w:rPr>
        <w:t>人，具有博士学位的专任教师4</w:t>
      </w:r>
      <w:r>
        <w:rPr>
          <w:rStyle w:val="21"/>
          <w:rFonts w:ascii="仿宋" w:hAnsi="仿宋" w:eastAsia="仿宋" w:cs="方正仿宋简体"/>
          <w:szCs w:val="32"/>
        </w:rPr>
        <w:t>4</w:t>
      </w:r>
      <w:r>
        <w:rPr>
          <w:rStyle w:val="21"/>
          <w:rFonts w:hint="eastAsia" w:ascii="仿宋" w:hAnsi="仿宋" w:eastAsia="仿宋" w:cs="方正仿宋简体"/>
          <w:szCs w:val="32"/>
        </w:rPr>
        <w:t>人。与天健、立信、信永中和等会计师事务所、企事业单位合作建立基地或签订战略合作协议，拥有34位校外师资，其中实务导师31位，名校客座教授3位。</w:t>
      </w:r>
    </w:p>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二、研究生党建与思想政治教育工作</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（一）思想政治教育队伍建设</w:t>
      </w:r>
    </w:p>
    <w:p>
      <w:pPr>
        <w:pStyle w:val="2"/>
        <w:spacing w:line="500" w:lineRule="exact"/>
        <w:rPr>
          <w:rFonts w:ascii="仿宋" w:hAnsi="仿宋" w:eastAsia="仿宋" w:cs="方正仿宋简体"/>
        </w:rPr>
      </w:pPr>
      <w:r>
        <w:rPr>
          <w:rFonts w:hint="eastAsia" w:ascii="仿宋" w:hAnsi="仿宋" w:eastAsia="仿宋" w:cs="方正仿宋简体"/>
        </w:rPr>
        <w:t>2</w:t>
      </w:r>
      <w:r>
        <w:rPr>
          <w:rFonts w:ascii="仿宋" w:hAnsi="仿宋" w:eastAsia="仿宋" w:cs="方正仿宋简体"/>
        </w:rPr>
        <w:t>021</w:t>
      </w:r>
      <w:r>
        <w:rPr>
          <w:rFonts w:hint="eastAsia" w:ascii="仿宋" w:hAnsi="仿宋" w:eastAsia="仿宋" w:cs="方正仿宋简体"/>
        </w:rPr>
        <w:t>年度，学位点不断加强思想政治教育队伍建设，坚持以“立德树人”为根本任务，把思想政治教育队伍建设作为基础工作，切实加强思政队伍建设，努力打造政治素质过硬、业务能力精湛、育人水平高超的高素质思政教育队伍。同时，学位点也在不断健全思政队伍理论学习制度，开展系统化、常态化思政教育，积极推进“专硕导师—授课教师—实务导师—辅导员”四位一体的思政队伍建设，效果显著。近五年来，在学位点所有思想政治教育队伍中，7</w:t>
      </w:r>
      <w:r>
        <w:rPr>
          <w:rFonts w:ascii="仿宋" w:hAnsi="仿宋" w:eastAsia="仿宋" w:cs="方正仿宋简体"/>
        </w:rPr>
        <w:t>人获得省级荣誉称号，10人</w:t>
      </w:r>
      <w:r>
        <w:rPr>
          <w:rFonts w:hint="eastAsia" w:ascii="仿宋" w:hAnsi="仿宋" w:eastAsia="仿宋" w:cs="方正仿宋简体"/>
        </w:rPr>
        <w:t>获得校级荣誉称号。其中，在2</w:t>
      </w:r>
      <w:r>
        <w:rPr>
          <w:rFonts w:ascii="仿宋" w:hAnsi="仿宋" w:eastAsia="仿宋" w:cs="方正仿宋简体"/>
        </w:rPr>
        <w:t>021年度</w:t>
      </w:r>
      <w:r>
        <w:rPr>
          <w:rFonts w:hint="eastAsia" w:ascii="仿宋" w:hAnsi="仿宋" w:eastAsia="仿宋" w:cs="方正仿宋简体"/>
        </w:rPr>
        <w:t>，</w:t>
      </w:r>
      <w:r>
        <w:rPr>
          <w:rFonts w:ascii="仿宋" w:hAnsi="仿宋" w:eastAsia="仿宋" w:cs="方正仿宋简体"/>
        </w:rPr>
        <w:t>1人获评</w:t>
      </w:r>
      <w:r>
        <w:rPr>
          <w:rFonts w:hint="eastAsia" w:ascii="仿宋" w:hAnsi="仿宋" w:eastAsia="仿宋" w:cs="方正仿宋简体"/>
        </w:rPr>
        <w:t>浙江省万人计划教学名师，1</w:t>
      </w:r>
      <w:r>
        <w:rPr>
          <w:rFonts w:ascii="仿宋" w:hAnsi="仿宋" w:eastAsia="仿宋" w:cs="方正仿宋简体"/>
        </w:rPr>
        <w:t>人获评校级优秀</w:t>
      </w:r>
      <w:r>
        <w:rPr>
          <w:rFonts w:hint="eastAsia" w:ascii="仿宋" w:hAnsi="仿宋" w:eastAsia="仿宋" w:cs="方正仿宋简体"/>
        </w:rPr>
        <w:t>教</w:t>
      </w:r>
      <w:r>
        <w:rPr>
          <w:rFonts w:ascii="仿宋" w:hAnsi="仿宋" w:eastAsia="仿宋" w:cs="方正仿宋简体"/>
        </w:rPr>
        <w:t>师</w:t>
      </w:r>
      <w:r>
        <w:rPr>
          <w:rFonts w:hint="eastAsia" w:ascii="仿宋" w:hAnsi="仿宋" w:eastAsia="仿宋" w:cs="方正仿宋简体"/>
        </w:rPr>
        <w:t>。</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（二）理想信念和社会主义核心价值观教育</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2</w:t>
      </w:r>
      <w:r>
        <w:rPr>
          <w:rStyle w:val="21"/>
          <w:rFonts w:ascii="仿宋" w:hAnsi="仿宋" w:eastAsia="仿宋" w:cs="方正仿宋简体"/>
          <w:szCs w:val="32"/>
        </w:rPr>
        <w:t>021</w:t>
      </w:r>
      <w:r>
        <w:rPr>
          <w:rStyle w:val="21"/>
          <w:rFonts w:hint="eastAsia" w:ascii="仿宋" w:hAnsi="仿宋" w:eastAsia="仿宋" w:cs="方正仿宋简体"/>
          <w:szCs w:val="32"/>
        </w:rPr>
        <w:t>年度，本学位点结合专业特色加强对研究生理想信念和社会主义核心价值观教育，形成</w:t>
      </w:r>
      <w:r>
        <w:rPr>
          <w:rFonts w:hint="eastAsia" w:ascii="仿宋" w:hAnsi="仿宋" w:eastAsia="仿宋" w:cs="方正仿宋简体"/>
        </w:rPr>
        <w:t>课堂教学和实践教学协同的育人平台。一方面，学位点继续</w:t>
      </w:r>
      <w:r>
        <w:rPr>
          <w:rStyle w:val="21"/>
          <w:rFonts w:hint="eastAsia" w:ascii="仿宋" w:hAnsi="仿宋" w:eastAsia="仿宋" w:cs="方正仿宋简体"/>
          <w:szCs w:val="32"/>
        </w:rPr>
        <w:t>全面贯彻落实习近平总书记在中央审计委员会上提出的要求：“以审计精神立身、以创新规范立业、以自身建设立信”，以国家审计人员职业道德规范、内部审计人员职业道德规范、注册会计师职业道德规范为准绳，将社会主义核心价值观融入《审计理论与实务》、《会计理论与实务》等系列主干课程教学中，持续强化研究生的职业道德教育，使学生牢固树立社会主义价值观并将其</w:t>
      </w:r>
      <w:r>
        <w:rPr>
          <w:rFonts w:hint="eastAsia" w:ascii="仿宋" w:hAnsi="仿宋" w:eastAsia="仿宋" w:cs="方正仿宋简体"/>
        </w:rPr>
        <w:t>内化于心</w:t>
      </w:r>
      <w:r>
        <w:rPr>
          <w:rStyle w:val="21"/>
          <w:rFonts w:hint="eastAsia" w:ascii="仿宋" w:hAnsi="仿宋" w:eastAsia="仿宋" w:cs="方正仿宋简体"/>
          <w:szCs w:val="32"/>
        </w:rPr>
        <w:t>。同时，学位点开设以职业道德为核心的基础课程，专门讲解理想信念和社会主义核心价值观在未来职业发展中的重要作用。</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另一方面，学位点多次举办实务导师进课堂系列活动，通过让各行各业的实务导师现身说法，以自身经历和经验，阐释社会主义核心价值观在个人职业生涯中的基础性作用，通过言传身教，强化价值观教育。</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（三）学位点文化建设</w:t>
      </w:r>
    </w:p>
    <w:p>
      <w:pPr>
        <w:pStyle w:val="2"/>
        <w:spacing w:line="500" w:lineRule="exact"/>
        <w:rPr>
          <w:rFonts w:ascii="仿宋" w:hAnsi="仿宋" w:eastAsia="仿宋" w:cs="方正仿宋简体"/>
        </w:rPr>
      </w:pPr>
      <w:r>
        <w:rPr>
          <w:rStyle w:val="21"/>
          <w:rFonts w:hint="eastAsia" w:ascii="仿宋" w:hAnsi="仿宋" w:eastAsia="仿宋" w:cs="方正仿宋简体"/>
          <w:szCs w:val="32"/>
        </w:rPr>
        <w:t>2</w:t>
      </w:r>
      <w:r>
        <w:rPr>
          <w:rStyle w:val="21"/>
          <w:rFonts w:ascii="仿宋" w:hAnsi="仿宋" w:eastAsia="仿宋" w:cs="方正仿宋简体"/>
          <w:szCs w:val="32"/>
        </w:rPr>
        <w:t>021</w:t>
      </w:r>
      <w:r>
        <w:rPr>
          <w:rStyle w:val="21"/>
          <w:rFonts w:hint="eastAsia" w:ascii="仿宋" w:hAnsi="仿宋" w:eastAsia="仿宋" w:cs="方正仿宋简体"/>
          <w:szCs w:val="32"/>
        </w:rPr>
        <w:t>年度，以习近平新时代中国特色社会主义思想为指引，依照《浙江工商大学“三全育人”综合改革建设方案》，学位点多措并举加强研究生文化素质教育，积极开展各类文化活动，营造浓厚的文化氛围。</w:t>
      </w:r>
    </w:p>
    <w:p>
      <w:pPr>
        <w:spacing w:line="500" w:lineRule="exact"/>
        <w:ind w:firstLine="640" w:firstLineChars="200"/>
        <w:rPr>
          <w:rFonts w:ascii="仿宋" w:hAnsi="仿宋" w:eastAsia="仿宋" w:cs="方正仿宋简体"/>
          <w:color w:val="000000"/>
          <w:szCs w:val="32"/>
        </w:rPr>
      </w:pPr>
      <w:r>
        <w:rPr>
          <w:rStyle w:val="21"/>
          <w:rFonts w:ascii="仿宋" w:hAnsi="仿宋" w:eastAsia="仿宋" w:cs="方正仿宋简体"/>
          <w:color w:val="000000"/>
          <w:szCs w:val="32"/>
        </w:rPr>
        <w:t>1.</w:t>
      </w:r>
      <w:r>
        <w:rPr>
          <w:rStyle w:val="21"/>
          <w:rFonts w:hint="eastAsia" w:ascii="仿宋" w:hAnsi="仿宋" w:eastAsia="仿宋" w:cs="方正仿宋简体"/>
          <w:color w:val="000000"/>
          <w:szCs w:val="32"/>
        </w:rPr>
        <w:t>学位点以“同心抗疫情、共筑中国梦”为主题举办研究生征文大赛</w:t>
      </w:r>
      <w:r>
        <w:rPr>
          <w:rFonts w:hint="eastAsia" w:ascii="仿宋" w:hAnsi="仿宋" w:eastAsia="仿宋" w:cs="方正仿宋简体"/>
          <w:color w:val="000000"/>
          <w:szCs w:val="32"/>
        </w:rPr>
        <w:t>。通过本次征文活动，本学位点研究生学子以文字表达了对中国人民必将战胜疫情的坚定信心，深刻彰显了当代研究生的责任担当意识与浓厚的爱国精神，体现了当代青年积极向上的精神风貌。</w:t>
      </w:r>
    </w:p>
    <w:p>
      <w:pPr>
        <w:pStyle w:val="2"/>
        <w:spacing w:line="500" w:lineRule="exact"/>
        <w:rPr>
          <w:rFonts w:ascii="仿宋" w:hAnsi="仿宋" w:eastAsia="仿宋" w:cs="方正仿宋简体"/>
        </w:rPr>
      </w:pPr>
      <w:r>
        <w:rPr>
          <w:rStyle w:val="21"/>
          <w:rFonts w:ascii="仿宋" w:hAnsi="仿宋" w:eastAsia="仿宋" w:cs="方正仿宋简体"/>
          <w:szCs w:val="32"/>
        </w:rPr>
        <w:t>2.</w:t>
      </w:r>
      <w:r>
        <w:rPr>
          <w:rStyle w:val="21"/>
          <w:rFonts w:hint="eastAsia" w:ascii="仿宋" w:hAnsi="仿宋" w:eastAsia="仿宋" w:cs="方正仿宋简体"/>
          <w:szCs w:val="32"/>
        </w:rPr>
        <w:t>学位点开展多次研究生志愿服务活动，包括</w:t>
      </w:r>
      <w:r>
        <w:rPr>
          <w:rFonts w:hint="eastAsia" w:ascii="仿宋" w:hAnsi="仿宋" w:eastAsia="仿宋" w:cs="方正仿宋简体"/>
        </w:rPr>
        <w:t>“公益课堂”系列志愿活动、“乐享亚运”系列志愿活动等，通过研究生志愿活动为研究生积极参与志愿服务搭建正能量平台，鼓励大家用实际行动践行志愿精神，向社会传递温暖，在构建和谐社会中发挥了重要作用，体现了青年学子乐于助人、回报社会的无私精神。</w:t>
      </w:r>
    </w:p>
    <w:p>
      <w:pPr>
        <w:spacing w:line="500" w:lineRule="exact"/>
        <w:ind w:firstLine="640" w:firstLineChars="200"/>
        <w:rPr>
          <w:rFonts w:ascii="仿宋" w:hAnsi="仿宋" w:eastAsia="仿宋" w:cs="方正仿宋简体"/>
          <w:color w:val="000000"/>
          <w:szCs w:val="32"/>
        </w:rPr>
      </w:pPr>
      <w:r>
        <w:rPr>
          <w:rFonts w:hint="eastAsia" w:ascii="仿宋" w:hAnsi="仿宋" w:eastAsia="仿宋" w:cs="方正仿宋简体"/>
          <w:color w:val="000000"/>
          <w:szCs w:val="32"/>
        </w:rPr>
        <w:t>3</w:t>
      </w:r>
      <w:r>
        <w:rPr>
          <w:rFonts w:ascii="仿宋" w:hAnsi="仿宋" w:eastAsia="仿宋" w:cs="方正仿宋简体"/>
          <w:color w:val="000000"/>
          <w:szCs w:val="32"/>
        </w:rPr>
        <w:t>.</w:t>
      </w:r>
      <w:r>
        <w:rPr>
          <w:rFonts w:hint="eastAsia" w:ascii="仿宋" w:hAnsi="仿宋" w:eastAsia="仿宋" w:cs="方正仿宋简体"/>
          <w:color w:val="000000"/>
          <w:szCs w:val="32"/>
        </w:rPr>
        <w:t>为积极响应学习百年党史号召，深入贯彻落实习近平总书记关于“用好红色资源，讲好红色故事，搞好红色教育，让红色基因代代相传”的讲话精神。本学位点组织研究生党员在线观看了“红色文物青年说”启动仪式，引领青年学子深入学习百年党史、弘扬革命精神、激发爱国热情，推动红色文化创造性转化、创新性发展。</w:t>
      </w:r>
    </w:p>
    <w:p>
      <w:pPr>
        <w:pStyle w:val="2"/>
        <w:spacing w:line="500" w:lineRule="exact"/>
        <w:rPr>
          <w:rFonts w:ascii="仿宋" w:hAnsi="仿宋" w:eastAsia="仿宋" w:cs="方正仿宋简体"/>
        </w:rPr>
      </w:pPr>
      <w:r>
        <w:rPr>
          <w:rFonts w:ascii="仿宋" w:hAnsi="仿宋" w:eastAsia="仿宋" w:cs="方正仿宋简体"/>
        </w:rPr>
        <w:t>4.为</w:t>
      </w:r>
      <w:r>
        <w:rPr>
          <w:rFonts w:hint="eastAsia" w:ascii="仿宋" w:hAnsi="仿宋" w:eastAsia="仿宋" w:cs="方正仿宋简体"/>
        </w:rPr>
        <w:t>充分发挥党的思想政治引领，引导广大党员在新形势下进一步增强党性观念，强化党支部的战斗堡垒作用，学位点积极开展研究生党支部品牌建设，结合专业特色，发挥党内优秀人才的带头作用，形成一批贴近实际、落到实处、特色鲜明的党建服务品牌。</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（四）日常管理服务工作</w:t>
      </w:r>
    </w:p>
    <w:p>
      <w:pPr>
        <w:pStyle w:val="2"/>
        <w:spacing w:line="500" w:lineRule="exact"/>
        <w:rPr>
          <w:rFonts w:ascii="仿宋" w:hAnsi="仿宋" w:eastAsia="仿宋" w:cs="方正仿宋简体"/>
        </w:rPr>
      </w:pPr>
      <w:r>
        <w:rPr>
          <w:rFonts w:hint="eastAsia" w:ascii="仿宋" w:hAnsi="仿宋" w:eastAsia="仿宋" w:cs="方正仿宋简体"/>
        </w:rPr>
        <w:t>本学位点的管理和服务由专业学位教育中心负责，中心配备专职管理人员</w:t>
      </w:r>
      <w:r>
        <w:rPr>
          <w:rFonts w:ascii="仿宋" w:hAnsi="仿宋" w:eastAsia="仿宋" w:cs="方正仿宋简体"/>
        </w:rPr>
        <w:t>，</w:t>
      </w:r>
      <w:r>
        <w:rPr>
          <w:rFonts w:hint="eastAsia" w:ascii="仿宋" w:hAnsi="仿宋" w:eastAsia="仿宋" w:cs="方正仿宋简体"/>
        </w:rPr>
        <w:t>具体包括招生主管、教学主管、学术主管、项目秘书以及专职辅导员等，其中各个主管分别负责职责内各项工作的总流程，项目秘书负责教学科研管理等具体工作，专职辅导员负责学生日常管理与服务等工作。</w:t>
      </w:r>
    </w:p>
    <w:p>
      <w:r>
        <w:drawing>
          <wp:inline distT="0" distB="0" distL="0" distR="0">
            <wp:extent cx="5274310" cy="259524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2595764"/>
                    </a:xfrm>
                    <a:prstGeom prst="rect">
                      <a:avLst/>
                    </a:prstGeom>
                    <a:noFill/>
                  </pic:spPr>
                </pic:pic>
              </a:graphicData>
            </a:graphic>
          </wp:inline>
        </w:drawing>
      </w:r>
    </w:p>
    <w:p>
      <w:pPr>
        <w:pStyle w:val="2"/>
        <w:spacing w:line="500" w:lineRule="exact"/>
      </w:pPr>
      <w:r>
        <w:rPr>
          <w:rFonts w:hint="eastAsia" w:ascii="仿宋" w:hAnsi="仿宋" w:eastAsia="仿宋" w:cs="方正仿宋简体"/>
        </w:rPr>
        <w:t>为保障研究生权益，及时反映研究生各方面权益诉求，学位点积极搭建和完善研究生常态化反馈机制。学位点每学期期中集中举办研究生座谈会，就研究生群体切身利益诉求开展专项调研，对一些比较集中的问题在学院党政联席会议专项讨论，尽可能予以及时解决，较好地解决了教学管理工作中存在的一些问题，进一步提升了工作质量。另外，学院设立研究生会，该组织作为学院与广大研究生之间的桥梁纽带，在院团委的组织领导下合理有序地表达和维护研究生正当权益，助推研究生成长。近年来，在校研究生对学院在教学科研、平台搭建以及服务保障等各方面给予高度认可。</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 xml:space="preserve">三、研究生培养相关制度及执行情况 </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（一）课程建设与实施情况</w:t>
      </w:r>
    </w:p>
    <w:p>
      <w:pPr>
        <w:pStyle w:val="2"/>
        <w:spacing w:line="500" w:lineRule="exact"/>
        <w:rPr>
          <w:rFonts w:ascii="仿宋" w:hAnsi="仿宋" w:eastAsia="仿宋" w:cs="方正仿宋简体"/>
        </w:rPr>
      </w:pPr>
      <w:r>
        <w:rPr>
          <w:rFonts w:hint="eastAsia" w:ascii="仿宋" w:hAnsi="仿宋" w:eastAsia="仿宋" w:cs="方正仿宋简体"/>
        </w:rPr>
        <w:t>学位点积极探索建立复合型高级审计人才培养的课程体系。在教学内容上，着重强调科研与教学、实践与教学的紧密结合；在教学方法上，鼓励运用启发式、研讨式、参与式等多种形式的教学方法。通过对教学内容和教学方法的不断完善，提高研究生课程整体水平。</w:t>
      </w:r>
    </w:p>
    <w:p>
      <w:pPr>
        <w:pStyle w:val="2"/>
        <w:spacing w:line="500" w:lineRule="exact"/>
        <w:rPr>
          <w:rFonts w:ascii="仿宋" w:hAnsi="仿宋" w:eastAsia="仿宋" w:cs="方正仿宋简体"/>
        </w:rPr>
      </w:pPr>
      <w:r>
        <w:rPr>
          <w:rFonts w:hint="eastAsia" w:ascii="仿宋" w:hAnsi="仿宋" w:eastAsia="仿宋" w:cs="方正仿宋简体"/>
        </w:rPr>
        <w:t>2</w:t>
      </w:r>
      <w:r>
        <w:rPr>
          <w:rFonts w:ascii="仿宋" w:hAnsi="仿宋" w:eastAsia="仿宋" w:cs="方正仿宋简体"/>
        </w:rPr>
        <w:t>021</w:t>
      </w:r>
      <w:r>
        <w:rPr>
          <w:rFonts w:hint="eastAsia" w:ascii="仿宋" w:hAnsi="仿宋" w:eastAsia="仿宋" w:cs="方正仿宋简体"/>
        </w:rPr>
        <w:t>年度，本学位点围绕培养目标，不断优化课程设置，通过对业界精英和同行专家深入调研，紧密结合“大智移云物区”新技术环境，增设智能化相关课程。在最新的审计专业硕士培养方案中，本学位点设置1</w:t>
      </w:r>
      <w:r>
        <w:rPr>
          <w:rFonts w:ascii="仿宋" w:hAnsi="仿宋" w:eastAsia="仿宋" w:cs="方正仿宋简体"/>
        </w:rPr>
        <w:t>0</w:t>
      </w:r>
      <w:r>
        <w:rPr>
          <w:rFonts w:hint="eastAsia" w:ascii="仿宋" w:hAnsi="仿宋" w:eastAsia="仿宋" w:cs="方正仿宋简体"/>
        </w:rPr>
        <w:t>门学位课、6门必修课、1</w:t>
      </w:r>
      <w:r>
        <w:rPr>
          <w:rFonts w:ascii="仿宋" w:hAnsi="仿宋" w:eastAsia="仿宋" w:cs="方正仿宋简体"/>
        </w:rPr>
        <w:t>8</w:t>
      </w:r>
      <w:r>
        <w:rPr>
          <w:rFonts w:hint="eastAsia" w:ascii="仿宋" w:hAnsi="仿宋" w:eastAsia="仿宋" w:cs="方正仿宋简体"/>
        </w:rPr>
        <w:t>门选修课，在不同类别的课程中均设有智能化课程。</w:t>
      </w:r>
    </w:p>
    <w:p>
      <w:pPr>
        <w:pStyle w:val="2"/>
        <w:spacing w:line="500" w:lineRule="exact"/>
        <w:rPr>
          <w:rFonts w:ascii="仿宋" w:hAnsi="仿宋" w:eastAsia="仿宋" w:cs="方正仿宋简体"/>
        </w:rPr>
      </w:pPr>
      <w:r>
        <w:rPr>
          <w:rFonts w:hint="eastAsia" w:ascii="仿宋" w:hAnsi="仿宋" w:eastAsia="仿宋" w:cs="方正仿宋简体"/>
        </w:rPr>
        <w:t>本学位点加强研究生课程建设并取得了一定成效。其中，《财务管理理论与实务》和《审计理论与实务》已获得校精品课程立项，并被推荐参评省精品课程；《内部控制与风险管理》获得校级研究生教材出版重点项目立项。同时，本学位点进一步强化案例教学，紧跟时事热点，不断更新课程内容和案例；通过在管理审计、企业税务筹划等课程中加入国际前沿专题，拓展国际视野，学习前沿理论；通过研究方法类课程提高学生的研究能力。</w:t>
      </w:r>
    </w:p>
    <w:p>
      <w:pPr>
        <w:pStyle w:val="2"/>
        <w:spacing w:line="500" w:lineRule="exact"/>
        <w:rPr>
          <w:rFonts w:ascii="仿宋" w:hAnsi="仿宋" w:eastAsia="仿宋" w:cs="方正仿宋简体"/>
        </w:rPr>
      </w:pPr>
      <w:r>
        <w:rPr>
          <w:rFonts w:hint="eastAsia" w:ascii="仿宋" w:hAnsi="仿宋" w:eastAsia="仿宋" w:cs="方正仿宋简体"/>
        </w:rPr>
        <w:t>为践行“为党育才、为国育人”使命，本学位点积极开展“课程思政体系研究”，积极建设课程思政示范，在《审计理论与实务》和《商业伦理与会计职业道德》、《财务管理理论与实务》以及《大数据分析与处理》等课程中，探索将社会主义核心价值观、职业道德规范、爱岗敬业等思想政治教育融入课堂中，并将这些课程打造成为思政示范项目。如《审计实务专题》课程积极将新中国审计发展与加强党对审计工作领导的历史相结合，挖掘管理审计、经济责任审计、舞弊审计、财务审计实务中的思政元素，提高学生对审计工作政治站位的认识。</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（二）导师选拔培训</w:t>
      </w:r>
    </w:p>
    <w:p>
      <w:pPr>
        <w:pStyle w:val="2"/>
        <w:spacing w:line="500" w:lineRule="exact"/>
        <w:rPr>
          <w:rFonts w:ascii="仿宋" w:hAnsi="仿宋" w:eastAsia="仿宋" w:cs="方正仿宋简体"/>
        </w:rPr>
      </w:pPr>
      <w:r>
        <w:rPr>
          <w:rFonts w:hint="eastAsia" w:ascii="仿宋" w:hAnsi="仿宋" w:eastAsia="仿宋" w:cs="方正仿宋简体"/>
        </w:rPr>
        <w:t>学位点在研究生导师选聘方面，始终遵循有利于学位授权专业的建设与发展、有利于提高培养质量的原则，依据《浙江工商大学硕士生指导教师选聘工作管理办法》，制定并切实执行《会计学院硕士生指导教师选聘工作管理办法》进行导师增列及动态遴选工作，确保研究生导师质量，并保证公正合理。</w:t>
      </w:r>
    </w:p>
    <w:p>
      <w:pPr>
        <w:pStyle w:val="2"/>
        <w:spacing w:line="500" w:lineRule="exact"/>
        <w:rPr>
          <w:rFonts w:ascii="仿宋" w:hAnsi="仿宋" w:eastAsia="仿宋" w:cs="方正仿宋简体"/>
        </w:rPr>
      </w:pPr>
      <w:r>
        <w:rPr>
          <w:rFonts w:hint="eastAsia" w:ascii="仿宋" w:hAnsi="仿宋" w:eastAsia="仿宋" w:cs="方正仿宋简体"/>
        </w:rPr>
        <w:t>在研究生导师培训方面，学位点定期开展多种形式的研究生指导教师培训活动，辅助新任研究生导师成长。学位点鼓励研究生指导教师利用“蓝天计划”、“大地计划”进行多种形式的交流合作与学习，以拓展研究生导师的国际视野和实践能力。为了鼓励教师积极参加交流培训，只要与教学科研相关的培训，学校和学院均大力支持，全额报销交通费、会议费和培训费并予以一定补助。</w:t>
      </w:r>
    </w:p>
    <w:p>
      <w:pPr>
        <w:pStyle w:val="2"/>
        <w:spacing w:line="500" w:lineRule="exact"/>
        <w:rPr>
          <w:rFonts w:ascii="仿宋" w:hAnsi="仿宋" w:eastAsia="仿宋" w:cs="方正仿宋简体"/>
        </w:rPr>
      </w:pPr>
      <w:r>
        <w:rPr>
          <w:rFonts w:hint="eastAsia" w:ascii="仿宋" w:hAnsi="仿宋" w:eastAsia="仿宋" w:cs="方正仿宋简体"/>
        </w:rPr>
        <w:t>2</w:t>
      </w:r>
      <w:r>
        <w:rPr>
          <w:rFonts w:ascii="仿宋" w:hAnsi="仿宋" w:eastAsia="仿宋" w:cs="方正仿宋简体"/>
        </w:rPr>
        <w:t>021</w:t>
      </w:r>
      <w:r>
        <w:rPr>
          <w:rFonts w:hint="eastAsia" w:ascii="仿宋" w:hAnsi="仿宋" w:eastAsia="仿宋" w:cs="方正仿宋简体"/>
        </w:rPr>
        <w:t>年度，本年度学位点增列7人为研究生导师。学位点9人参加论坛或培训，具体包括中国企业管理案例与质性研究论坛、《管理世界》第三届“中国青年管理学者论坛”、全国高校大数据与人工智能师资研修班、《财务大数据分析》课程师资等、高等学校会计与审计教学高级研讨会等。</w:t>
      </w:r>
    </w:p>
    <w:p>
      <w:pPr>
        <w:pStyle w:val="2"/>
        <w:spacing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（三）师德师风建设情况</w:t>
      </w:r>
    </w:p>
    <w:p>
      <w:pPr>
        <w:pStyle w:val="2"/>
        <w:spacing w:line="500" w:lineRule="exact"/>
        <w:rPr>
          <w:rFonts w:ascii="仿宋" w:hAnsi="仿宋" w:eastAsia="仿宋" w:cs="方正仿宋简体"/>
        </w:rPr>
      </w:pPr>
      <w:r>
        <w:rPr>
          <w:rStyle w:val="21"/>
          <w:rFonts w:hint="eastAsia" w:ascii="仿宋" w:hAnsi="仿宋" w:eastAsia="仿宋" w:cs="方正仿宋简体"/>
          <w:szCs w:val="32"/>
        </w:rPr>
        <w:t>在师德师风制度建设方面，学位点认真贯彻落实国家和学校相关规定，以深入贯彻《新时代高校教师职业行为十项准则》和《研究生导师指导行为准则》等为工作主线，扎实推进师德师风建设，筑牢师德底线，引导教师崇德尚行。一方面，学位点</w:t>
      </w:r>
      <w:r>
        <w:rPr>
          <w:rFonts w:hint="eastAsia" w:ascii="仿宋" w:hAnsi="仿宋" w:eastAsia="仿宋" w:cs="方正仿宋简体"/>
        </w:rPr>
        <w:t>建立健全教师师德监督和考核机制，</w:t>
      </w:r>
      <w:r>
        <w:rPr>
          <w:rStyle w:val="21"/>
          <w:rFonts w:hint="eastAsia" w:ascii="仿宋" w:hAnsi="仿宋" w:eastAsia="仿宋" w:cs="方正仿宋简体"/>
          <w:szCs w:val="32"/>
        </w:rPr>
        <w:t>对教师进行师德考核，坚持师德“零容忍”态度，实行师德一票否决，</w:t>
      </w:r>
      <w:r>
        <w:rPr>
          <w:rFonts w:hint="eastAsia" w:ascii="仿宋" w:hAnsi="仿宋" w:eastAsia="仿宋" w:cs="方正仿宋简体"/>
        </w:rPr>
        <w:t>把师德师风作为教师招聘、人才引进、年度考核、岗位聘任、职务晋升、评优评先的第一标准，</w:t>
      </w:r>
      <w:r>
        <w:rPr>
          <w:rStyle w:val="21"/>
          <w:rFonts w:hint="eastAsia" w:ascii="仿宋" w:hAnsi="仿宋" w:eastAsia="仿宋" w:cs="方正仿宋简体"/>
          <w:szCs w:val="32"/>
        </w:rPr>
        <w:t>严厉查处师德失范行为。同时，</w:t>
      </w:r>
      <w:r>
        <w:rPr>
          <w:rFonts w:hint="eastAsia" w:ascii="仿宋" w:hAnsi="仿宋" w:eastAsia="仿宋" w:cs="方正仿宋简体"/>
        </w:rPr>
        <w:t>加强法治教育，强化警示教育，</w:t>
      </w:r>
      <w:r>
        <w:rPr>
          <w:rFonts w:ascii="仿宋" w:hAnsi="仿宋" w:eastAsia="仿宋" w:cs="方正仿宋简体"/>
        </w:rPr>
        <w:t>以案例通报、警示提醒等方式加强教师的廉洁自律教育，并通过学院大会、钉钉群等途径，及时通报学校各项纪律要求，明确在各项教学、科研、管理工作中的职责和法律政策边界。</w:t>
      </w:r>
      <w:r>
        <w:rPr>
          <w:rFonts w:hint="eastAsia" w:ascii="仿宋" w:hAnsi="仿宋" w:eastAsia="仿宋" w:cs="方正仿宋简体"/>
        </w:rPr>
        <w:t>另一方面，</w:t>
      </w:r>
      <w:r>
        <w:rPr>
          <w:rStyle w:val="21"/>
          <w:rFonts w:hint="eastAsia" w:ascii="仿宋" w:hAnsi="仿宋" w:eastAsia="仿宋" w:cs="方正仿宋简体"/>
          <w:szCs w:val="32"/>
        </w:rPr>
        <w:t>学位点加强师德教育，</w:t>
      </w:r>
      <w:r>
        <w:rPr>
          <w:rFonts w:hint="eastAsia" w:ascii="仿宋" w:hAnsi="仿宋" w:eastAsia="仿宋" w:cs="方正仿宋简体"/>
        </w:rPr>
        <w:t>开展多层次的优秀教师宣传活动，发挥优秀教师典型的引领示范和辐射带动作用，引导广大教师对标典范，见贤思齐，树立崇高理想，坚守奋斗新时代。此外，学位点所在学院积极挖掘校友资源，设立“弘毅奖教金”、“鸿成仁合奖教金”、“锡华·会7810班教育基金”、“添增励志奖教金”等系列教师专项奖励基金，每年评选表彰在教书育人工作中表现突出的教师，激发广大教师立德树人的积极性、主动性和创造性，发挥先进典型的示范引领作用。</w:t>
      </w:r>
    </w:p>
    <w:p>
      <w:pPr>
        <w:pStyle w:val="2"/>
        <w:spacing w:line="500" w:lineRule="exact"/>
        <w:rPr>
          <w:rStyle w:val="21"/>
          <w:rFonts w:ascii="仿宋" w:hAnsi="仿宋" w:eastAsia="仿宋" w:cs="方正仿宋简体"/>
          <w:szCs w:val="32"/>
        </w:rPr>
      </w:pPr>
      <w:r>
        <w:rPr>
          <w:rFonts w:ascii="仿宋" w:hAnsi="仿宋" w:eastAsia="仿宋" w:cs="方正仿宋简体"/>
        </w:rPr>
        <w:t>2021</w:t>
      </w:r>
      <w:r>
        <w:rPr>
          <w:rFonts w:hint="eastAsia" w:ascii="仿宋" w:hAnsi="仿宋" w:eastAsia="仿宋" w:cs="方正仿宋简体"/>
        </w:rPr>
        <w:t>年度，</w:t>
      </w:r>
      <w:r>
        <w:rPr>
          <w:rFonts w:ascii="仿宋" w:hAnsi="仿宋" w:eastAsia="仿宋" w:cs="方正仿宋简体"/>
        </w:rPr>
        <w:t>学位点</w:t>
      </w:r>
      <w:r>
        <w:rPr>
          <w:rFonts w:hint="eastAsia" w:ascii="仿宋" w:hAnsi="仿宋" w:eastAsia="仿宋" w:cs="方正仿宋简体"/>
        </w:rPr>
        <w:t>以习近平总书记对广大教师提出的“四有好老师”“四个引路人”“四个相统一”等要求为指引，认真贯彻全国高校思想政治工作会议和全国教育大会精神，全面落实中共中央国务院《关于全面深化新时代教师队伍建设改革的意见》，坚持以“立德树人”为根本任务。深入学习贯彻习近平总书记给全国高校黄大年式教师团队代表重要回信精神，利用暑期观看《黄大年》《李保国》《一生只为一事来》等优秀典型事迹纪录片和以优秀教师为原型创作的影视剧，积极开展向黄大年式教师团队学习活动，强化教师的理想信念和责任担当。聚焦强化教师党支部建设，在发展党员、教学科研、评奖评优等活动中突出政治标准，开展“领航家园——教师党员进寝室”系列活动，发挥教师党支部和党员教师的示范引领作用。2</w:t>
      </w:r>
      <w:r>
        <w:rPr>
          <w:rFonts w:ascii="仿宋" w:hAnsi="仿宋" w:eastAsia="仿宋" w:cs="方正仿宋简体"/>
        </w:rPr>
        <w:t>021</w:t>
      </w:r>
      <w:r>
        <w:rPr>
          <w:rFonts w:hint="eastAsia" w:ascii="仿宋" w:hAnsi="仿宋" w:eastAsia="仿宋" w:cs="方正仿宋简体"/>
        </w:rPr>
        <w:t>年度，学位点教师师德师风建设良好，没有出现教师因违反法律法规、师德师风、学术不端等被查处或通报的师德师风负面情况。</w:t>
      </w:r>
    </w:p>
    <w:p>
      <w:pPr>
        <w:pStyle w:val="2"/>
        <w:spacing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（四）学术训练情况</w:t>
      </w:r>
    </w:p>
    <w:p>
      <w:pPr>
        <w:pStyle w:val="2"/>
        <w:spacing w:line="500" w:lineRule="exact"/>
        <w:rPr>
          <w:rFonts w:ascii="仿宋" w:hAnsi="仿宋" w:eastAsia="仿宋" w:cs="方正仿宋简体"/>
        </w:rPr>
      </w:pPr>
      <w:r>
        <w:rPr>
          <w:rStyle w:val="21"/>
          <w:rFonts w:hint="eastAsia" w:ascii="仿宋" w:hAnsi="仿宋" w:eastAsia="仿宋" w:cs="方正仿宋简体"/>
          <w:szCs w:val="32"/>
        </w:rPr>
        <w:t>学位点一贯注重对研究生学术能力和学术素养的培养，将案例与学术研讨活动作为必修环节列入研究生培养方案中。要求研究生在学习期间参与案例研究与开发活动以及参加不少于</w:t>
      </w:r>
      <w:r>
        <w:rPr>
          <w:rStyle w:val="21"/>
          <w:rFonts w:ascii="仿宋" w:hAnsi="仿宋" w:eastAsia="仿宋" w:cs="方正仿宋简体"/>
          <w:szCs w:val="32"/>
        </w:rPr>
        <w:t>10</w:t>
      </w:r>
      <w:r>
        <w:rPr>
          <w:rStyle w:val="21"/>
          <w:rFonts w:hint="eastAsia" w:ascii="仿宋" w:hAnsi="仿宋" w:eastAsia="仿宋" w:cs="方正仿宋简体"/>
          <w:szCs w:val="32"/>
        </w:rPr>
        <w:t>次学术会议或讲座。为了提高研究生学术水平，本学位点</w:t>
      </w:r>
      <w:r>
        <w:rPr>
          <w:rFonts w:ascii="仿宋" w:hAnsi="仿宋" w:eastAsia="仿宋" w:cs="方正仿宋简体"/>
        </w:rPr>
        <w:t>为研究生开设</w:t>
      </w:r>
      <w:r>
        <w:rPr>
          <w:rFonts w:hint="eastAsia" w:ascii="仿宋" w:hAnsi="仿宋" w:eastAsia="仿宋" w:cs="方正仿宋简体"/>
        </w:rPr>
        <w:t>审计研究</w:t>
      </w:r>
      <w:r>
        <w:rPr>
          <w:rFonts w:ascii="仿宋" w:hAnsi="仿宋" w:eastAsia="仿宋" w:cs="方正仿宋简体"/>
        </w:rPr>
        <w:t>方法论、</w:t>
      </w:r>
      <w:r>
        <w:rPr>
          <w:rFonts w:hint="eastAsia" w:ascii="仿宋" w:hAnsi="仿宋" w:eastAsia="仿宋" w:cs="方正仿宋简体"/>
          <w:bCs/>
        </w:rPr>
        <w:t>审计学位论文写作</w:t>
      </w:r>
      <w:r>
        <w:rPr>
          <w:rFonts w:ascii="仿宋" w:hAnsi="仿宋" w:eastAsia="仿宋" w:cs="方正仿宋简体"/>
        </w:rPr>
        <w:t>等学术训练课程</w:t>
      </w:r>
      <w:r>
        <w:rPr>
          <w:rFonts w:hint="eastAsia" w:ascii="仿宋" w:hAnsi="仿宋" w:eastAsia="仿宋" w:cs="方正仿宋简体"/>
        </w:rPr>
        <w:t>，培养</w:t>
      </w:r>
      <w:r>
        <w:rPr>
          <w:rFonts w:ascii="仿宋" w:hAnsi="仿宋" w:eastAsia="仿宋" w:cs="方正仿宋简体"/>
        </w:rPr>
        <w:t>学生选题、文献检索、文献阅读、文献综述、论文写作等</w:t>
      </w:r>
      <w:r>
        <w:rPr>
          <w:rFonts w:hint="eastAsia" w:ascii="仿宋" w:hAnsi="仿宋" w:eastAsia="仿宋" w:cs="方正仿宋简体"/>
        </w:rPr>
        <w:t>学术论文写作能力，并</w:t>
      </w:r>
      <w:r>
        <w:rPr>
          <w:rStyle w:val="21"/>
          <w:rFonts w:hint="eastAsia" w:ascii="仿宋" w:hAnsi="仿宋" w:eastAsia="仿宋" w:cs="方正仿宋简体"/>
          <w:szCs w:val="32"/>
        </w:rPr>
        <w:t>制度化举行“钱江会计学术论坛”和</w:t>
      </w:r>
      <w:r>
        <w:rPr>
          <w:rStyle w:val="21"/>
          <w:rFonts w:ascii="仿宋" w:hAnsi="仿宋" w:eastAsia="仿宋" w:cs="方正仿宋简体"/>
          <w:szCs w:val="32"/>
        </w:rPr>
        <w:t>“</w:t>
      </w:r>
      <w:r>
        <w:rPr>
          <w:rFonts w:ascii="仿宋" w:hAnsi="仿宋" w:eastAsia="仿宋" w:cs="方正仿宋简体"/>
        </w:rPr>
        <w:t>钱江会计名家讲坛</w:t>
      </w:r>
      <w:r>
        <w:rPr>
          <w:rFonts w:hint="eastAsia" w:ascii="仿宋" w:hAnsi="仿宋" w:eastAsia="仿宋" w:cs="方正仿宋简体"/>
        </w:rPr>
        <w:t>”</w:t>
      </w:r>
      <w:r>
        <w:rPr>
          <w:rStyle w:val="21"/>
          <w:rFonts w:hint="eastAsia" w:ascii="仿宋" w:hAnsi="仿宋" w:eastAsia="仿宋" w:cs="方正仿宋简体"/>
          <w:szCs w:val="32"/>
        </w:rPr>
        <w:t>，邀请校外知名学者专家和青年学者做前沿学术专题讲座，以方便研究生参与学术交流。另外，为了鼓励研究生开展高质量、具有创新性的研究，本学位点每年举办“研究生学术论坛”和“专业学位案例大赛”， 分别设置一等奖、二等奖、三等奖和优胜奖并提供现金奖励；设置“研究生优秀学位论文培育项目”并为入选项目提供</w:t>
      </w:r>
      <w:r>
        <w:rPr>
          <w:rStyle w:val="21"/>
          <w:rFonts w:ascii="仿宋" w:hAnsi="仿宋" w:eastAsia="仿宋" w:cs="方正仿宋简体"/>
          <w:szCs w:val="32"/>
        </w:rPr>
        <w:t>10000</w:t>
      </w:r>
      <w:r>
        <w:rPr>
          <w:rStyle w:val="21"/>
          <w:rFonts w:hint="eastAsia" w:ascii="仿宋" w:hAnsi="仿宋" w:eastAsia="仿宋" w:cs="方正仿宋简体"/>
          <w:szCs w:val="32"/>
        </w:rPr>
        <w:t>元的经费。</w:t>
      </w:r>
      <w:r>
        <w:rPr>
          <w:rFonts w:hint="eastAsia" w:ascii="仿宋" w:hAnsi="仿宋" w:eastAsia="仿宋" w:cs="方正仿宋简体"/>
        </w:rPr>
        <w:t>2</w:t>
      </w:r>
      <w:r>
        <w:rPr>
          <w:rFonts w:ascii="仿宋" w:hAnsi="仿宋" w:eastAsia="仿宋" w:cs="方正仿宋简体"/>
        </w:rPr>
        <w:t>021</w:t>
      </w:r>
      <w:r>
        <w:rPr>
          <w:rFonts w:hint="eastAsia" w:ascii="仿宋" w:hAnsi="仿宋" w:eastAsia="仿宋" w:cs="方正仿宋简体"/>
        </w:rPr>
        <w:t>年度，学位点举办“</w:t>
      </w:r>
      <w:r>
        <w:rPr>
          <w:rStyle w:val="21"/>
          <w:rFonts w:hint="eastAsia" w:ascii="仿宋" w:hAnsi="仿宋" w:eastAsia="仿宋" w:cs="方正仿宋简体"/>
          <w:szCs w:val="32"/>
        </w:rPr>
        <w:t>钱江会计学术论坛”1</w:t>
      </w:r>
      <w:r>
        <w:rPr>
          <w:rStyle w:val="21"/>
          <w:rFonts w:ascii="仿宋" w:hAnsi="仿宋" w:eastAsia="仿宋" w:cs="方正仿宋简体"/>
          <w:szCs w:val="32"/>
        </w:rPr>
        <w:t>2</w:t>
      </w:r>
      <w:r>
        <w:rPr>
          <w:rStyle w:val="21"/>
          <w:rFonts w:hint="eastAsia" w:ascii="仿宋" w:hAnsi="仿宋" w:eastAsia="仿宋" w:cs="方正仿宋简体"/>
          <w:szCs w:val="32"/>
        </w:rPr>
        <w:t>期，</w:t>
      </w:r>
      <w:r>
        <w:rPr>
          <w:rFonts w:hint="eastAsia" w:ascii="仿宋" w:hAnsi="仿宋" w:eastAsia="仿宋" w:cs="方正仿宋简体"/>
        </w:rPr>
        <w:t>邀请校外专家开展2次专题学术训练营，进一步提高了研究生学术研究能力。</w:t>
      </w:r>
    </w:p>
    <w:p>
      <w:pPr>
        <w:pStyle w:val="2"/>
        <w:spacing w:before="156" w:beforeLines="50" w:after="156" w:afterLines="50" w:line="51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（五）学术交流情况</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学位点积极搭建学术交流平台，举办或者承办学术会议，同时鼓励研究生外出参加学术研讨会，实现本学位点研究生与学者互动，让研究生了解学科发展概况以及前沿进展情况。</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2</w:t>
      </w:r>
      <w:r>
        <w:rPr>
          <w:rStyle w:val="21"/>
          <w:rFonts w:ascii="仿宋" w:hAnsi="仿宋" w:eastAsia="仿宋" w:cs="方正仿宋简体"/>
          <w:szCs w:val="32"/>
        </w:rPr>
        <w:t>021年度，</w:t>
      </w:r>
      <w:r>
        <w:rPr>
          <w:rStyle w:val="21"/>
          <w:rFonts w:hint="eastAsia" w:ascii="仿宋" w:hAnsi="仿宋" w:eastAsia="仿宋" w:cs="方正仿宋简体"/>
          <w:szCs w:val="32"/>
        </w:rPr>
        <w:t>学院</w:t>
      </w:r>
      <w:r>
        <w:rPr>
          <w:rStyle w:val="21"/>
          <w:rFonts w:ascii="仿宋" w:hAnsi="仿宋" w:eastAsia="仿宋" w:cs="方正仿宋简体"/>
          <w:szCs w:val="32"/>
        </w:rPr>
        <w:t>承办“</w:t>
      </w:r>
      <w:r>
        <w:rPr>
          <w:rStyle w:val="21"/>
          <w:rFonts w:hint="eastAsia" w:ascii="仿宋" w:hAnsi="仿宋" w:eastAsia="仿宋" w:cs="方正仿宋简体"/>
          <w:szCs w:val="32"/>
        </w:rPr>
        <w:t>中国会计学会对外学术交流专业委员会暨CJAS2021年第一次学术研讨会”、举办“</w:t>
      </w:r>
      <w:r>
        <w:rPr>
          <w:rStyle w:val="21"/>
          <w:rFonts w:ascii="仿宋" w:hAnsi="仿宋" w:eastAsia="仿宋" w:cs="方正仿宋简体"/>
          <w:szCs w:val="32"/>
        </w:rPr>
        <w:t>青年会计学者论坛”</w:t>
      </w:r>
      <w:r>
        <w:rPr>
          <w:rStyle w:val="21"/>
          <w:rFonts w:hint="eastAsia" w:ascii="仿宋" w:hAnsi="仿宋" w:eastAsia="仿宋" w:cs="方正仿宋简体"/>
          <w:szCs w:val="32"/>
        </w:rPr>
        <w:t>等学术会议，为</w:t>
      </w:r>
      <w:r>
        <w:rPr>
          <w:rStyle w:val="21"/>
          <w:rFonts w:ascii="仿宋" w:hAnsi="仿宋" w:eastAsia="仿宋" w:cs="方正仿宋简体"/>
          <w:szCs w:val="32"/>
        </w:rPr>
        <w:t>学界同仁、年轻学者搭建交流平台。</w:t>
      </w:r>
      <w:r>
        <w:rPr>
          <w:rStyle w:val="21"/>
          <w:rFonts w:hint="eastAsia" w:ascii="仿宋" w:hAnsi="仿宋" w:eastAsia="仿宋" w:cs="方正仿宋简体"/>
          <w:szCs w:val="32"/>
        </w:rPr>
        <w:t>本年度，学位点研究生参加“《</w:t>
      </w:r>
      <w:r>
        <w:rPr>
          <w:rFonts w:hint="eastAsia" w:ascii="仿宋" w:hAnsi="仿宋" w:eastAsia="仿宋" w:cs="宋体"/>
          <w:szCs w:val="22"/>
          <w:lang w:bidi="ar"/>
        </w:rPr>
        <w:t>管理世界》第三届中国青年管理学者论坛</w:t>
      </w:r>
      <w:r>
        <w:rPr>
          <w:rStyle w:val="21"/>
          <w:rFonts w:hint="eastAsia" w:ascii="仿宋" w:hAnsi="仿宋" w:eastAsia="仿宋" w:cs="方正仿宋简体"/>
          <w:szCs w:val="32"/>
        </w:rPr>
        <w:t>”</w:t>
      </w:r>
      <w:r>
        <w:rPr>
          <w:rFonts w:hint="eastAsia" w:ascii="仿宋" w:hAnsi="仿宋" w:eastAsia="仿宋" w:cs="宋体"/>
          <w:szCs w:val="22"/>
          <w:lang w:bidi="ar"/>
        </w:rPr>
        <w:t>、“第20届中国实证会计研讨会”、“中国会计学会对外学术交流专业委员会学术年会暨CJAS学术研讨会”、“</w:t>
      </w:r>
      <w:r>
        <w:rPr>
          <w:rFonts w:ascii="仿宋" w:hAnsi="仿宋" w:eastAsia="仿宋" w:cs="宋体"/>
          <w:szCs w:val="22"/>
          <w:lang w:bidi="ar"/>
        </w:rPr>
        <w:t>第十六届长三角研究生学术论坛——数智时代会计与治理创新”</w:t>
      </w:r>
      <w:r>
        <w:rPr>
          <w:rFonts w:hint="eastAsia" w:ascii="仿宋" w:hAnsi="仿宋" w:eastAsia="仿宋" w:cs="宋体"/>
          <w:szCs w:val="22"/>
          <w:lang w:bidi="ar"/>
        </w:rPr>
        <w:t>等学术会议，其中在</w:t>
      </w:r>
      <w:r>
        <w:rPr>
          <w:rStyle w:val="21"/>
          <w:rFonts w:hint="eastAsia" w:ascii="仿宋" w:hAnsi="仿宋" w:eastAsia="仿宋" w:cs="方正仿宋简体"/>
          <w:szCs w:val="32"/>
        </w:rPr>
        <w:t>“</w:t>
      </w:r>
      <w:bookmarkStart w:id="4" w:name="OLE_LINK3"/>
      <w:r>
        <w:rPr>
          <w:rStyle w:val="21"/>
          <w:rFonts w:ascii="仿宋" w:hAnsi="仿宋" w:eastAsia="仿宋" w:cs="方正仿宋简体"/>
          <w:szCs w:val="32"/>
        </w:rPr>
        <w:t>第十六届长三角研究生学术论坛</w:t>
      </w:r>
      <w:bookmarkEnd w:id="4"/>
      <w:r>
        <w:rPr>
          <w:rStyle w:val="21"/>
          <w:rFonts w:ascii="仿宋" w:hAnsi="仿宋" w:eastAsia="仿宋" w:cs="方正仿宋简体"/>
          <w:szCs w:val="32"/>
        </w:rPr>
        <w:t>——数智时代会计与治理创新”</w:t>
      </w:r>
      <w:r>
        <w:rPr>
          <w:rStyle w:val="21"/>
          <w:rFonts w:hint="eastAsia" w:ascii="仿宋" w:hAnsi="仿宋" w:eastAsia="仿宋" w:cs="方正仿宋简体"/>
          <w:szCs w:val="32"/>
        </w:rPr>
        <w:t>中，1人</w:t>
      </w:r>
      <w:r>
        <w:rPr>
          <w:rStyle w:val="21"/>
          <w:rFonts w:ascii="仿宋" w:hAnsi="仿宋" w:eastAsia="仿宋" w:cs="方正仿宋简体"/>
          <w:szCs w:val="32"/>
        </w:rPr>
        <w:t>荣获</w:t>
      </w:r>
      <w:r>
        <w:rPr>
          <w:rStyle w:val="21"/>
          <w:rFonts w:hint="eastAsia" w:ascii="仿宋" w:hAnsi="仿宋" w:eastAsia="仿宋" w:cs="方正仿宋简体"/>
          <w:szCs w:val="32"/>
        </w:rPr>
        <w:t>二等奖。</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（六）研究生奖助情况</w:t>
      </w:r>
    </w:p>
    <w:p>
      <w:pPr>
        <w:pStyle w:val="2"/>
        <w:spacing w:line="500" w:lineRule="exact"/>
        <w:rPr>
          <w:rStyle w:val="21"/>
          <w:rFonts w:ascii="仿宋" w:hAnsi="仿宋" w:eastAsia="仿宋" w:cs="方正仿宋简体"/>
          <w:szCs w:val="32"/>
        </w:rPr>
      </w:pPr>
      <w:bookmarkStart w:id="5" w:name="_Hlk98326899"/>
      <w:r>
        <w:rPr>
          <w:rStyle w:val="21"/>
          <w:rFonts w:hint="eastAsia" w:ascii="仿宋" w:hAnsi="仿宋" w:eastAsia="仿宋" w:cs="方正仿宋简体"/>
          <w:szCs w:val="32"/>
        </w:rPr>
        <w:t>学位点所在学院成立奖助评定工作小组，按照各类奖助学金评审管理办法，按时完成各类奖学金评定及国家助学金、助研津贴审核发放工作。</w:t>
      </w:r>
      <w:bookmarkEnd w:id="5"/>
    </w:p>
    <w:p>
      <w:pPr>
        <w:pStyle w:val="2"/>
        <w:spacing w:line="500" w:lineRule="exact"/>
        <w:rPr>
          <w:rFonts w:ascii="仿宋" w:hAnsi="仿宋" w:eastAsia="仿宋" w:cs="方正仿宋简体"/>
        </w:rPr>
      </w:pPr>
      <w:bookmarkStart w:id="6" w:name="_Hlk98334040"/>
      <w:r>
        <w:rPr>
          <w:rStyle w:val="21"/>
          <w:rFonts w:hint="eastAsia" w:ascii="仿宋" w:hAnsi="仿宋" w:eastAsia="仿宋" w:cs="方正仿宋简体"/>
          <w:szCs w:val="32"/>
        </w:rPr>
        <w:t>2</w:t>
      </w:r>
      <w:r>
        <w:rPr>
          <w:rStyle w:val="21"/>
          <w:rFonts w:ascii="仿宋" w:hAnsi="仿宋" w:eastAsia="仿宋" w:cs="方正仿宋简体"/>
          <w:szCs w:val="32"/>
        </w:rPr>
        <w:t>021</w:t>
      </w:r>
      <w:r>
        <w:rPr>
          <w:rStyle w:val="21"/>
          <w:rFonts w:hint="eastAsia" w:ascii="仿宋" w:hAnsi="仿宋" w:eastAsia="仿宋" w:cs="方正仿宋简体"/>
          <w:szCs w:val="32"/>
        </w:rPr>
        <w:t>年度，本学位点研究生获得国家奖学金1人，弘毅奖学金1人，国家助学金7</w:t>
      </w:r>
      <w:r>
        <w:rPr>
          <w:rStyle w:val="21"/>
          <w:rFonts w:ascii="仿宋" w:hAnsi="仿宋" w:eastAsia="仿宋" w:cs="方正仿宋简体"/>
          <w:szCs w:val="32"/>
        </w:rPr>
        <w:t>3</w:t>
      </w:r>
      <w:r>
        <w:rPr>
          <w:rStyle w:val="21"/>
          <w:rFonts w:hint="eastAsia" w:ascii="仿宋" w:hAnsi="仿宋" w:eastAsia="仿宋" w:cs="方正仿宋简体"/>
          <w:szCs w:val="32"/>
        </w:rPr>
        <w:t>人，学业奖学金4</w:t>
      </w:r>
      <w:r>
        <w:rPr>
          <w:rStyle w:val="21"/>
          <w:rFonts w:ascii="仿宋" w:hAnsi="仿宋" w:eastAsia="仿宋" w:cs="方正仿宋简体"/>
          <w:szCs w:val="32"/>
        </w:rPr>
        <w:t>1</w:t>
      </w:r>
      <w:r>
        <w:rPr>
          <w:rStyle w:val="21"/>
          <w:rFonts w:hint="eastAsia" w:ascii="仿宋" w:hAnsi="仿宋" w:eastAsia="仿宋" w:cs="方正仿宋简体"/>
          <w:szCs w:val="32"/>
        </w:rPr>
        <w:t>人，3</w:t>
      </w:r>
      <w:r>
        <w:rPr>
          <w:rStyle w:val="21"/>
          <w:rFonts w:ascii="仿宋" w:hAnsi="仿宋" w:eastAsia="仿宋" w:cs="方正仿宋简体"/>
          <w:szCs w:val="32"/>
        </w:rPr>
        <w:t>人获得浙江省优秀</w:t>
      </w:r>
      <w:r>
        <w:rPr>
          <w:rStyle w:val="21"/>
          <w:rFonts w:hint="eastAsia" w:ascii="仿宋" w:hAnsi="仿宋" w:eastAsia="仿宋" w:cs="方正仿宋简体"/>
          <w:szCs w:val="32"/>
        </w:rPr>
        <w:t>研究生，</w:t>
      </w:r>
      <w:r>
        <w:rPr>
          <w:rStyle w:val="21"/>
          <w:rFonts w:ascii="仿宋" w:hAnsi="仿宋" w:eastAsia="仿宋" w:cs="方正仿宋简体"/>
          <w:szCs w:val="32"/>
        </w:rPr>
        <w:t>5人获得</w:t>
      </w:r>
      <w:r>
        <w:rPr>
          <w:rStyle w:val="21"/>
          <w:rFonts w:hint="eastAsia" w:ascii="仿宋" w:hAnsi="仿宋" w:eastAsia="仿宋" w:cs="方正仿宋简体"/>
          <w:szCs w:val="32"/>
        </w:rPr>
        <w:t>校级</w:t>
      </w:r>
      <w:r>
        <w:rPr>
          <w:rStyle w:val="21"/>
          <w:rFonts w:ascii="仿宋" w:hAnsi="仿宋" w:eastAsia="仿宋" w:cs="方正仿宋简体"/>
          <w:szCs w:val="32"/>
        </w:rPr>
        <w:t>优秀研究生，</w:t>
      </w:r>
      <w:r>
        <w:rPr>
          <w:rStyle w:val="21"/>
          <w:rFonts w:hint="eastAsia" w:ascii="仿宋" w:hAnsi="仿宋" w:eastAsia="仿宋" w:cs="方正仿宋简体"/>
          <w:szCs w:val="32"/>
        </w:rPr>
        <w:t xml:space="preserve"> </w:t>
      </w:r>
      <w:r>
        <w:rPr>
          <w:rStyle w:val="21"/>
          <w:rFonts w:ascii="仿宋" w:hAnsi="仿宋" w:eastAsia="仿宋" w:cs="方正仿宋简体"/>
          <w:szCs w:val="32"/>
        </w:rPr>
        <w:t>2</w:t>
      </w:r>
      <w:r>
        <w:rPr>
          <w:rStyle w:val="21"/>
          <w:rFonts w:hint="eastAsia" w:ascii="仿宋" w:hAnsi="仿宋" w:eastAsia="仿宋" w:cs="方正仿宋简体"/>
          <w:szCs w:val="32"/>
        </w:rPr>
        <w:t>人获得优秀研究生干部，本学位点1人获批研究生科研创新基金项目。</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本学位点近五年来，2</w:t>
      </w:r>
      <w:r>
        <w:rPr>
          <w:rStyle w:val="21"/>
          <w:rFonts w:ascii="仿宋" w:hAnsi="仿宋" w:eastAsia="仿宋" w:cs="方正仿宋简体"/>
          <w:szCs w:val="32"/>
        </w:rPr>
        <w:t>8</w:t>
      </w:r>
      <w:r>
        <w:rPr>
          <w:rStyle w:val="21"/>
          <w:rFonts w:hint="eastAsia" w:ascii="仿宋" w:hAnsi="仿宋" w:eastAsia="仿宋" w:cs="方正仿宋简体"/>
          <w:szCs w:val="32"/>
        </w:rPr>
        <w:t>人考取C</w:t>
      </w:r>
      <w:r>
        <w:rPr>
          <w:rStyle w:val="21"/>
          <w:rFonts w:ascii="仿宋" w:hAnsi="仿宋" w:eastAsia="仿宋" w:cs="方正仿宋简体"/>
          <w:szCs w:val="32"/>
        </w:rPr>
        <w:t>IA</w:t>
      </w:r>
      <w:r>
        <w:rPr>
          <w:rStyle w:val="21"/>
          <w:rFonts w:hint="eastAsia" w:ascii="仿宋" w:hAnsi="仿宋" w:eastAsia="仿宋" w:cs="方正仿宋简体"/>
          <w:szCs w:val="32"/>
        </w:rPr>
        <w:t>证书、2</w:t>
      </w:r>
      <w:r>
        <w:rPr>
          <w:rStyle w:val="21"/>
          <w:rFonts w:ascii="仿宋" w:hAnsi="仿宋" w:eastAsia="仿宋" w:cs="方正仿宋简体"/>
          <w:szCs w:val="32"/>
        </w:rPr>
        <w:t>5</w:t>
      </w:r>
      <w:r>
        <w:rPr>
          <w:rStyle w:val="21"/>
          <w:rFonts w:hint="eastAsia" w:ascii="仿宋" w:hAnsi="仿宋" w:eastAsia="仿宋" w:cs="方正仿宋简体"/>
          <w:szCs w:val="32"/>
        </w:rPr>
        <w:t>人考取注册会计师证书、4人通过法律职业资格考试。在2</w:t>
      </w:r>
      <w:r>
        <w:rPr>
          <w:rStyle w:val="21"/>
          <w:rFonts w:ascii="仿宋" w:hAnsi="仿宋" w:eastAsia="仿宋" w:cs="方正仿宋简体"/>
          <w:szCs w:val="32"/>
        </w:rPr>
        <w:t>021</w:t>
      </w:r>
      <w:r>
        <w:rPr>
          <w:rStyle w:val="21"/>
          <w:rFonts w:hint="eastAsia" w:ascii="仿宋" w:hAnsi="仿宋" w:eastAsia="仿宋" w:cs="方正仿宋简体"/>
          <w:szCs w:val="32"/>
        </w:rPr>
        <w:t>年度，2人考取C</w:t>
      </w:r>
      <w:r>
        <w:rPr>
          <w:rStyle w:val="21"/>
          <w:rFonts w:ascii="仿宋" w:hAnsi="仿宋" w:eastAsia="仿宋" w:cs="方正仿宋简体"/>
          <w:szCs w:val="32"/>
        </w:rPr>
        <w:t>IA</w:t>
      </w:r>
      <w:r>
        <w:rPr>
          <w:rStyle w:val="21"/>
          <w:rFonts w:hint="eastAsia" w:ascii="仿宋" w:hAnsi="仿宋" w:eastAsia="仿宋" w:cs="方正仿宋简体"/>
          <w:szCs w:val="32"/>
        </w:rPr>
        <w:t>证书，2人考取注册会计师证书。</w:t>
      </w:r>
    </w:p>
    <w:bookmarkEnd w:id="6"/>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四、研究生教育改革情况</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（一）人才培养</w:t>
      </w:r>
    </w:p>
    <w:p>
      <w:pPr>
        <w:spacing w:line="500" w:lineRule="exact"/>
        <w:ind w:firstLine="640" w:firstLineChars="200"/>
        <w:rPr>
          <w:rStyle w:val="21"/>
          <w:rFonts w:ascii="仿宋" w:hAnsi="仿宋" w:eastAsia="仿宋" w:cs="方正仿宋简体"/>
          <w:color w:val="000000"/>
          <w:szCs w:val="32"/>
        </w:rPr>
      </w:pPr>
      <w:bookmarkStart w:id="7" w:name="_Hlk98335613"/>
      <w:r>
        <w:rPr>
          <w:rStyle w:val="21"/>
          <w:rFonts w:hint="eastAsia" w:ascii="仿宋" w:hAnsi="仿宋" w:eastAsia="仿宋" w:cs="方正仿宋简体"/>
          <w:color w:val="000000"/>
          <w:szCs w:val="32"/>
        </w:rPr>
        <w:t>2</w:t>
      </w:r>
      <w:r>
        <w:rPr>
          <w:rStyle w:val="21"/>
          <w:rFonts w:ascii="仿宋" w:hAnsi="仿宋" w:eastAsia="仿宋" w:cs="方正仿宋简体"/>
          <w:color w:val="000000"/>
          <w:szCs w:val="32"/>
        </w:rPr>
        <w:t>021</w:t>
      </w:r>
      <w:r>
        <w:rPr>
          <w:rStyle w:val="21"/>
          <w:rFonts w:hint="eastAsia" w:ascii="仿宋" w:hAnsi="仿宋" w:eastAsia="仿宋" w:cs="方正仿宋简体"/>
          <w:color w:val="000000"/>
          <w:szCs w:val="32"/>
        </w:rPr>
        <w:t>年度，学位点持续推进人才培养改革。一方面，进一步加强思政教育与人才培养的有机结合，落实</w:t>
      </w:r>
      <w:r>
        <w:rPr>
          <w:rStyle w:val="21"/>
          <w:rFonts w:ascii="仿宋" w:hAnsi="仿宋" w:eastAsia="仿宋" w:cs="方正仿宋简体"/>
          <w:color w:val="000000"/>
          <w:szCs w:val="32"/>
        </w:rPr>
        <w:t>“为党育人、为国育才”使命</w:t>
      </w:r>
      <w:r>
        <w:rPr>
          <w:rStyle w:val="21"/>
          <w:rFonts w:hint="eastAsia" w:ascii="仿宋" w:hAnsi="仿宋" w:eastAsia="仿宋" w:cs="方正仿宋简体"/>
          <w:color w:val="000000"/>
          <w:szCs w:val="32"/>
        </w:rPr>
        <w:t>，培养具有大局意识、坚定信念、作风务实、</w:t>
      </w:r>
      <w:r>
        <w:rPr>
          <w:rStyle w:val="21"/>
          <w:rFonts w:ascii="仿宋" w:hAnsi="仿宋" w:eastAsia="仿宋" w:cs="方正仿宋简体"/>
          <w:color w:val="000000"/>
          <w:szCs w:val="32"/>
        </w:rPr>
        <w:t>清正廉洁</w:t>
      </w:r>
      <w:r>
        <w:rPr>
          <w:rStyle w:val="21"/>
          <w:rFonts w:hint="eastAsia" w:ascii="仿宋" w:hAnsi="仿宋" w:eastAsia="仿宋" w:cs="方正仿宋简体"/>
          <w:color w:val="000000"/>
          <w:szCs w:val="32"/>
        </w:rPr>
        <w:t>的高素质审计人才。另一方面，紧抓</w:t>
      </w:r>
      <w:r>
        <w:rPr>
          <w:rFonts w:hint="eastAsia" w:ascii="仿宋" w:hAnsi="仿宋" w:eastAsia="仿宋" w:cs="方正仿宋简体"/>
          <w:color w:val="000000"/>
          <w:szCs w:val="32"/>
        </w:rPr>
        <w:t>习近平总书记赋予浙江建设的“重要窗口”，立足新目标、新使命，</w:t>
      </w:r>
      <w:r>
        <w:rPr>
          <w:rStyle w:val="21"/>
          <w:rFonts w:hint="eastAsia" w:ascii="仿宋" w:hAnsi="仿宋" w:eastAsia="仿宋" w:cs="方正仿宋简体"/>
          <w:color w:val="000000"/>
          <w:szCs w:val="32"/>
        </w:rPr>
        <w:t>积极响应新时代下国家和社会需求，结合长三角一体化区域经济发展战略的实际人才需要，</w:t>
      </w:r>
      <w:r>
        <w:rPr>
          <w:rFonts w:hint="eastAsia" w:ascii="仿宋" w:hAnsi="仿宋" w:eastAsia="仿宋" w:cs="方正仿宋简体"/>
          <w:color w:val="000000"/>
          <w:szCs w:val="32"/>
        </w:rPr>
        <w:t>依托我校牵头与教育部、商务部等五部门相关研究机构成立的“重要窗口”研究院，以及依托首批国家级管理型财会人才培养模式创新实验区，</w:t>
      </w:r>
      <w:r>
        <w:rPr>
          <w:rStyle w:val="21"/>
          <w:rFonts w:hint="eastAsia" w:ascii="仿宋" w:hAnsi="仿宋" w:eastAsia="仿宋" w:cs="方正仿宋简体"/>
          <w:color w:val="000000"/>
          <w:szCs w:val="32"/>
        </w:rPr>
        <w:t>培养符合长三角经济发展外向型特征需求的，熟悉</w:t>
      </w:r>
      <w:r>
        <w:rPr>
          <w:rStyle w:val="21"/>
          <w:rFonts w:ascii="仿宋" w:hAnsi="仿宋" w:eastAsia="仿宋" w:cs="方正仿宋简体"/>
          <w:color w:val="000000"/>
          <w:szCs w:val="32"/>
        </w:rPr>
        <w:t>国际通行的商业规则和审计准则</w:t>
      </w:r>
      <w:r>
        <w:rPr>
          <w:rStyle w:val="21"/>
          <w:rFonts w:hint="eastAsia" w:ascii="仿宋" w:hAnsi="仿宋" w:eastAsia="仿宋" w:cs="方正仿宋简体"/>
          <w:color w:val="000000"/>
          <w:szCs w:val="32"/>
        </w:rPr>
        <w:t>的，能够应对复杂多变的</w:t>
      </w:r>
      <w:r>
        <w:rPr>
          <w:rStyle w:val="21"/>
          <w:rFonts w:ascii="仿宋" w:hAnsi="仿宋" w:eastAsia="仿宋" w:cs="方正仿宋简体"/>
          <w:color w:val="000000"/>
          <w:szCs w:val="32"/>
        </w:rPr>
        <w:t>全球化竞争</w:t>
      </w:r>
      <w:r>
        <w:rPr>
          <w:rStyle w:val="21"/>
          <w:rFonts w:hint="eastAsia" w:ascii="仿宋" w:hAnsi="仿宋" w:eastAsia="仿宋" w:cs="方正仿宋简体"/>
          <w:color w:val="000000"/>
          <w:szCs w:val="32"/>
        </w:rPr>
        <w:t>的高级审计人才，以及能够以新思维创造性地</w:t>
      </w:r>
      <w:r>
        <w:rPr>
          <w:rStyle w:val="21"/>
          <w:rFonts w:ascii="仿宋" w:hAnsi="仿宋" w:eastAsia="仿宋" w:cs="方正仿宋简体"/>
          <w:color w:val="000000"/>
          <w:szCs w:val="32"/>
        </w:rPr>
        <w:t>运用审计理论知识与实践经验分析</w:t>
      </w:r>
      <w:r>
        <w:rPr>
          <w:rStyle w:val="21"/>
          <w:rFonts w:hint="eastAsia" w:ascii="仿宋" w:hAnsi="仿宋" w:eastAsia="仿宋" w:cs="方正仿宋简体"/>
          <w:color w:val="000000"/>
          <w:szCs w:val="32"/>
        </w:rPr>
        <w:t>，熟练掌握大数据、云计算、人工智能等技术进行审计工作的“管理型高级审计人才”。</w:t>
      </w:r>
      <w:bookmarkStart w:id="8" w:name="_Hlk92743988"/>
      <w:bookmarkStart w:id="9" w:name="_Hlk92638458"/>
      <w:r>
        <w:rPr>
          <w:rStyle w:val="21"/>
          <w:rFonts w:hint="eastAsia" w:ascii="仿宋" w:hAnsi="仿宋" w:eastAsia="仿宋" w:cs="方正仿宋简体"/>
          <w:color w:val="000000"/>
          <w:szCs w:val="32"/>
        </w:rPr>
        <w:t xml:space="preserve"> </w:t>
      </w:r>
      <w:bookmarkEnd w:id="7"/>
    </w:p>
    <w:bookmarkEnd w:id="8"/>
    <w:bookmarkEnd w:id="9"/>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（二）教师队伍建设</w:t>
      </w:r>
    </w:p>
    <w:p>
      <w:pPr>
        <w:pStyle w:val="2"/>
        <w:spacing w:line="500" w:lineRule="exact"/>
        <w:rPr>
          <w:rFonts w:ascii="仿宋" w:hAnsi="仿宋" w:eastAsia="仿宋" w:cs="方正仿宋简体"/>
        </w:rPr>
      </w:pPr>
      <w:r>
        <w:rPr>
          <w:rStyle w:val="21"/>
          <w:rFonts w:hint="eastAsia" w:ascii="仿宋" w:hAnsi="仿宋" w:eastAsia="仿宋" w:cs="方正仿宋简体"/>
          <w:szCs w:val="32"/>
        </w:rPr>
        <w:t>2</w:t>
      </w:r>
      <w:r>
        <w:rPr>
          <w:rStyle w:val="21"/>
          <w:rFonts w:ascii="仿宋" w:hAnsi="仿宋" w:eastAsia="仿宋" w:cs="方正仿宋简体"/>
          <w:szCs w:val="32"/>
        </w:rPr>
        <w:t>021</w:t>
      </w:r>
      <w:r>
        <w:rPr>
          <w:rStyle w:val="21"/>
          <w:rFonts w:hint="eastAsia" w:ascii="仿宋" w:hAnsi="仿宋" w:eastAsia="仿宋" w:cs="方正仿宋简体"/>
          <w:szCs w:val="32"/>
        </w:rPr>
        <w:t>年度，本学位点持续加强教师队伍建设改革，不断提升教师思想政治素养和专业素质能力。一方面，常态化推进师德培育，将各类师德规范纳入新教师岗前培训，同时健全教师荣誉制度，激励教师潜心育人。另一方面，坚持“引进两端，培养中间”的指导思想，从外部引进高端人才和</w:t>
      </w:r>
      <w:r>
        <w:rPr>
          <w:rFonts w:hint="eastAsia" w:ascii="仿宋" w:hAnsi="仿宋" w:eastAsia="仿宋" w:cs="方正仿宋简体"/>
        </w:rPr>
        <w:t>青年博士（后）</w:t>
      </w:r>
      <w:r>
        <w:rPr>
          <w:rStyle w:val="21"/>
          <w:rFonts w:hint="eastAsia" w:ascii="仿宋" w:hAnsi="仿宋" w:eastAsia="仿宋" w:cs="方正仿宋简体"/>
          <w:szCs w:val="32"/>
        </w:rPr>
        <w:t>，并通过</w:t>
      </w:r>
      <w:r>
        <w:rPr>
          <w:rFonts w:hint="eastAsia" w:ascii="仿宋" w:hAnsi="仿宋" w:eastAsia="仿宋" w:cs="方正仿宋简体"/>
        </w:rPr>
        <w:t>人才培养和成长体系</w:t>
      </w:r>
      <w:r>
        <w:rPr>
          <w:rStyle w:val="21"/>
          <w:rFonts w:hint="eastAsia" w:ascii="仿宋" w:hAnsi="仿宋" w:eastAsia="仿宋" w:cs="方正仿宋简体"/>
          <w:szCs w:val="32"/>
        </w:rPr>
        <w:t>促进教师成长，优化师资年龄和学缘结构。通过保障制度、激励制度等促进教师教学和科研能力的提升，</w:t>
      </w:r>
      <w:r>
        <w:rPr>
          <w:rFonts w:hint="eastAsia" w:ascii="仿宋" w:hAnsi="仿宋" w:eastAsia="仿宋" w:cs="方正仿宋简体"/>
        </w:rPr>
        <w:t>依托“大地计划”派遣师资前往政府或企业挂职；推进“蓝天计划”选派教师到欧美名校访学；支持教师与行业企业人才队伍交流融合，提升教师理论水平和实践创新能力。此外，学位点积极探索理论与实践相结合的校内外导师组。以实务、理论界“名家”、“博导”为引领，以中高级职称教师和企事业单位高管为骨干，构建校内外导师团队。</w:t>
      </w:r>
    </w:p>
    <w:p>
      <w:pPr>
        <w:pStyle w:val="2"/>
        <w:spacing w:line="500" w:lineRule="exact"/>
        <w:rPr>
          <w:rFonts w:ascii="仿宋" w:hAnsi="仿宋" w:eastAsia="仿宋" w:cs="方正仿宋简体"/>
        </w:rPr>
      </w:pPr>
      <w:r>
        <w:rPr>
          <w:rFonts w:hint="eastAsia" w:ascii="仿宋" w:hAnsi="仿宋" w:eastAsia="仿宋" w:cs="方正仿宋简体"/>
        </w:rPr>
        <w:t>近两年，学位点所在学院引进青年博士和博士后1</w:t>
      </w:r>
      <w:r>
        <w:rPr>
          <w:rFonts w:ascii="仿宋" w:hAnsi="仿宋" w:eastAsia="仿宋" w:cs="方正仿宋简体"/>
        </w:rPr>
        <w:t>0</w:t>
      </w:r>
      <w:r>
        <w:rPr>
          <w:rFonts w:hint="eastAsia" w:ascii="仿宋" w:hAnsi="仿宋" w:eastAsia="仿宋" w:cs="方正仿宋简体"/>
        </w:rPr>
        <w:t>名；教师晋升教授3人，副教授6人。</w:t>
      </w:r>
      <w:bookmarkStart w:id="10" w:name="Z04科学研究"/>
      <w:bookmarkEnd w:id="10"/>
      <w:r>
        <w:rPr>
          <w:rFonts w:hint="eastAsia" w:ascii="仿宋" w:hAnsi="仿宋" w:eastAsia="仿宋" w:cs="方正仿宋简体"/>
        </w:rPr>
        <w:t>学位点以院内国家百千万人才、财政部会计名家、国际化高端会计人才等为基础，坚持“请进来和走出去”相结合，聘请国内外知名学者与实务导师，参与大纲修订，走进课堂。同时，进一步强调“双师型”导师作用。以具有CPA等职业资格（15人）、独立董事（15人）、财务经理（5人）等任职经历，实践能力强的教师为主干，通过教学督导、教学示范引领队伍。</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（三）科学研究</w:t>
      </w:r>
    </w:p>
    <w:p>
      <w:pPr>
        <w:pStyle w:val="2"/>
        <w:spacing w:line="510" w:lineRule="exact"/>
        <w:rPr>
          <w:rStyle w:val="21"/>
          <w:rFonts w:ascii="仿宋" w:hAnsi="仿宋" w:eastAsia="仿宋" w:cs="方正仿宋简体"/>
          <w:szCs w:val="32"/>
        </w:rPr>
      </w:pPr>
      <w:bookmarkStart w:id="11" w:name="_Hlk98337192"/>
      <w:r>
        <w:rPr>
          <w:rStyle w:val="21"/>
          <w:rFonts w:hint="eastAsia" w:ascii="仿宋" w:hAnsi="仿宋" w:eastAsia="仿宋" w:cs="方正仿宋简体"/>
          <w:szCs w:val="32"/>
        </w:rPr>
        <w:t>2</w:t>
      </w:r>
      <w:r>
        <w:rPr>
          <w:rStyle w:val="21"/>
          <w:rFonts w:ascii="仿宋" w:hAnsi="仿宋" w:eastAsia="仿宋" w:cs="方正仿宋简体"/>
          <w:szCs w:val="32"/>
        </w:rPr>
        <w:t>021</w:t>
      </w:r>
      <w:r>
        <w:rPr>
          <w:rStyle w:val="21"/>
          <w:rFonts w:hint="eastAsia" w:ascii="仿宋" w:hAnsi="仿宋" w:eastAsia="仿宋" w:cs="方正仿宋简体"/>
          <w:szCs w:val="32"/>
        </w:rPr>
        <w:t>年度，本学位点</w:t>
      </w:r>
      <w:r>
        <w:rPr>
          <w:rFonts w:hint="eastAsia" w:ascii="仿宋" w:hAnsi="仿宋" w:eastAsia="仿宋" w:cs="方正仿宋简体"/>
        </w:rPr>
        <w:t>获批国家自科基金项目2项、国家社科基金重点项目2项、国家社科基金一般项目1项，省部级项目</w:t>
      </w:r>
      <w:r>
        <w:rPr>
          <w:rFonts w:ascii="仿宋" w:hAnsi="仿宋" w:eastAsia="仿宋" w:cs="方正仿宋简体"/>
        </w:rPr>
        <w:t>3</w:t>
      </w:r>
      <w:r>
        <w:rPr>
          <w:rFonts w:hint="eastAsia" w:ascii="仿宋" w:hAnsi="仿宋" w:eastAsia="仿宋" w:cs="方正仿宋简体"/>
        </w:rPr>
        <w:t>项；</w:t>
      </w:r>
      <w:r>
        <w:rPr>
          <w:rStyle w:val="21"/>
          <w:rFonts w:hint="eastAsia" w:ascii="仿宋" w:hAnsi="仿宋" w:eastAsia="仿宋" w:cs="方正仿宋简体"/>
          <w:szCs w:val="32"/>
        </w:rPr>
        <w:t>纵向到校科研经费共1</w:t>
      </w:r>
      <w:r>
        <w:rPr>
          <w:rStyle w:val="21"/>
          <w:rFonts w:ascii="仿宋" w:hAnsi="仿宋" w:eastAsia="仿宋" w:cs="方正仿宋简体"/>
          <w:szCs w:val="32"/>
        </w:rPr>
        <w:t>73.5</w:t>
      </w:r>
      <w:r>
        <w:rPr>
          <w:rStyle w:val="21"/>
          <w:rFonts w:hint="eastAsia" w:ascii="仿宋" w:hAnsi="仿宋" w:eastAsia="仿宋" w:cs="方正仿宋简体"/>
          <w:szCs w:val="32"/>
        </w:rPr>
        <w:t>万元、横向到校科研经费共4</w:t>
      </w:r>
      <w:r>
        <w:rPr>
          <w:rStyle w:val="21"/>
          <w:rFonts w:ascii="仿宋" w:hAnsi="仿宋" w:eastAsia="仿宋" w:cs="方正仿宋简体"/>
          <w:szCs w:val="32"/>
        </w:rPr>
        <w:t>8.5</w:t>
      </w:r>
      <w:r>
        <w:rPr>
          <w:rStyle w:val="21"/>
          <w:rFonts w:hint="eastAsia" w:ascii="仿宋" w:hAnsi="仿宋" w:eastAsia="仿宋" w:cs="方正仿宋简体"/>
          <w:szCs w:val="32"/>
        </w:rPr>
        <w:t>万元。</w:t>
      </w:r>
    </w:p>
    <w:p>
      <w:pPr>
        <w:pStyle w:val="2"/>
        <w:spacing w:line="510" w:lineRule="exact"/>
        <w:rPr>
          <w:rFonts w:ascii="仿宋" w:hAnsi="仿宋" w:eastAsia="仿宋" w:cs="方正仿宋简体"/>
        </w:rPr>
      </w:pPr>
      <w:r>
        <w:rPr>
          <w:rStyle w:val="21"/>
          <w:rFonts w:ascii="仿宋" w:hAnsi="仿宋" w:eastAsia="仿宋" w:cs="方正仿宋简体"/>
          <w:szCs w:val="32"/>
        </w:rPr>
        <w:t>2021</w:t>
      </w:r>
      <w:r>
        <w:rPr>
          <w:rStyle w:val="21"/>
          <w:rFonts w:hint="eastAsia" w:ascii="仿宋" w:hAnsi="仿宋" w:eastAsia="仿宋" w:cs="方正仿宋简体"/>
          <w:szCs w:val="32"/>
        </w:rPr>
        <w:t>年度，本学位点教师在《会计研究》、《金融研究》、《审计研究》、《</w:t>
      </w:r>
      <w:r>
        <w:rPr>
          <w:rFonts w:hint="eastAsia" w:ascii="仿宋" w:hAnsi="仿宋" w:eastAsia="仿宋" w:cs="方正仿宋简体"/>
        </w:rPr>
        <w:t>International Review of Economics and Finance</w:t>
      </w:r>
      <w:r>
        <w:rPr>
          <w:rStyle w:val="21"/>
          <w:rFonts w:hint="eastAsia" w:ascii="仿宋" w:hAnsi="仿宋" w:eastAsia="仿宋" w:cs="方正仿宋简体"/>
          <w:szCs w:val="32"/>
        </w:rPr>
        <w:t>》等国内外权威期刊发表论文3</w:t>
      </w:r>
      <w:r>
        <w:rPr>
          <w:rStyle w:val="21"/>
          <w:rFonts w:ascii="仿宋" w:hAnsi="仿宋" w:eastAsia="仿宋" w:cs="方正仿宋简体"/>
          <w:szCs w:val="32"/>
        </w:rPr>
        <w:t>0</w:t>
      </w:r>
      <w:r>
        <w:rPr>
          <w:rStyle w:val="21"/>
          <w:rFonts w:hint="eastAsia" w:ascii="仿宋" w:hAnsi="仿宋" w:eastAsia="仿宋" w:cs="方正仿宋简体"/>
          <w:szCs w:val="32"/>
        </w:rPr>
        <w:t>余篇。</w:t>
      </w:r>
    </w:p>
    <w:bookmarkEnd w:id="11"/>
    <w:p>
      <w:pPr>
        <w:pStyle w:val="2"/>
        <w:spacing w:before="156" w:beforeLines="50" w:after="156" w:afterLines="50" w:line="51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（四）传承创新优秀文化</w:t>
      </w:r>
    </w:p>
    <w:p>
      <w:pPr>
        <w:pStyle w:val="2"/>
        <w:spacing w:line="516" w:lineRule="exact"/>
        <w:rPr>
          <w:rStyle w:val="21"/>
          <w:rFonts w:ascii="仿宋" w:hAnsi="仿宋" w:eastAsia="仿宋" w:cs="方正仿宋简体"/>
          <w:szCs w:val="32"/>
        </w:rPr>
      </w:pPr>
      <w:r>
        <w:rPr>
          <w:rStyle w:val="21"/>
          <w:rFonts w:hint="eastAsia" w:ascii="仿宋" w:hAnsi="仿宋" w:eastAsia="仿宋" w:cs="方正仿宋简体"/>
          <w:szCs w:val="32"/>
        </w:rPr>
        <w:t>学位点依托“浙江全部政府性资金审计理论研究中心”，</w:t>
      </w:r>
      <w:bookmarkStart w:id="12" w:name="_Hlk98340089"/>
      <w:r>
        <w:rPr>
          <w:rStyle w:val="21"/>
          <w:rFonts w:hint="eastAsia" w:ascii="仿宋" w:hAnsi="仿宋" w:eastAsia="仿宋" w:cs="方正仿宋简体"/>
          <w:szCs w:val="32"/>
        </w:rPr>
        <w:t>向全国传播浙审智慧</w:t>
      </w:r>
      <w:bookmarkEnd w:id="12"/>
      <w:r>
        <w:rPr>
          <w:rStyle w:val="21"/>
          <w:rFonts w:hint="eastAsia" w:ascii="仿宋" w:hAnsi="仿宋" w:eastAsia="仿宋" w:cs="方正仿宋简体"/>
          <w:szCs w:val="32"/>
        </w:rPr>
        <w:t>。浙江全部政府性资金审计理论研究</w:t>
      </w:r>
      <w:bookmarkStart w:id="13" w:name="_Hlk98340138"/>
      <w:r>
        <w:rPr>
          <w:rStyle w:val="21"/>
          <w:rFonts w:hint="eastAsia" w:ascii="仿宋" w:hAnsi="仿宋" w:eastAsia="仿宋" w:cs="方正仿宋简体"/>
          <w:szCs w:val="32"/>
        </w:rPr>
        <w:t>中心是“浙江审计文化交流的重要窗口”</w:t>
      </w:r>
      <w:bookmarkEnd w:id="13"/>
      <w:r>
        <w:rPr>
          <w:rStyle w:val="21"/>
          <w:rFonts w:hint="eastAsia" w:ascii="仿宋" w:hAnsi="仿宋" w:eastAsia="仿宋" w:cs="方正仿宋简体"/>
          <w:szCs w:val="32"/>
        </w:rPr>
        <w:t>。以之为前端，多位教师被聘为国家会计学院特聘教授、浙江大学特聘教师、浙江审计厅特聘教师等，为全国培训审计精英；以之为依托，专业“以文为媒”梳理浙江内审经验，协助浙江审计厅，历时2年编撰完成《浙江通志-审计志》，成为弘扬审计精神、传播审计文化的重要载体。</w:t>
      </w:r>
    </w:p>
    <w:p>
      <w:pPr>
        <w:pStyle w:val="2"/>
        <w:spacing w:line="516" w:lineRule="exact"/>
        <w:rPr>
          <w:rStyle w:val="21"/>
          <w:rFonts w:ascii="仿宋" w:hAnsi="仿宋" w:eastAsia="仿宋" w:cs="方正仿宋简体"/>
          <w:szCs w:val="32"/>
        </w:rPr>
      </w:pPr>
      <w:r>
        <w:rPr>
          <w:rStyle w:val="21"/>
          <w:rFonts w:hint="eastAsia" w:ascii="仿宋" w:hAnsi="仿宋" w:eastAsia="仿宋" w:cs="方正仿宋简体"/>
          <w:szCs w:val="32"/>
        </w:rPr>
        <w:t>此外，学位点利用“中国民营企业内控研究中心”，服务民营企业内控文化建设。该研究中心是中国会计学会在浙江工商大学设立的全国唯一关于民营经济内控问题的研究中心，也传播民营企业内控文化的开放基地，致力于研究和探索中国民营经济高质量发展。中心积极参与制定中国企业内部控制准则以及内部控制应用指引，承办了“中国民营企业内部控制论坛”，探索我国民营企业内部控制的热点、难点和前瞻性问题，出版了案例集《中国民营企业内部控制研究》，将学界与业界的内部控制理论进行融合，传播新合成及杉杉股份等20余家公司内部控制文化。</w:t>
      </w:r>
    </w:p>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（五）国际合作交流等方面的改革创新情况</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为加强国际合作交流，学位点积极培养面向“一带一路”国家、重点服务浙江省企业“走出去”战略的友好型国际审计人才；加强师生与国外高校和科研机构的交流合作。另外，学位点计划每年以申请“蓝天计划”及院内资助的方式选派教师出国访问或进修，支持教师参加国际学术会议并进行论文报告，提升教师和学生的国际交流能力，拓展国际视野。</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五、教育质量评估与分析</w:t>
      </w:r>
    </w:p>
    <w:p>
      <w:pPr>
        <w:pStyle w:val="2"/>
        <w:spacing w:before="156" w:beforeLines="50" w:after="156" w:afterLines="50" w:line="500" w:lineRule="exact"/>
        <w:rPr>
          <w:rFonts w:ascii="方正仿宋简体" w:hAnsi="方正仿宋简体" w:eastAsia="方正仿宋简体" w:cs="方正仿宋简体"/>
          <w:color w:val="auto"/>
        </w:rPr>
      </w:pPr>
      <w:r>
        <w:rPr>
          <w:rStyle w:val="21"/>
          <w:rFonts w:hint="eastAsia" w:ascii="方正仿宋简体" w:hAnsi="方正仿宋简体" w:cs="方正仿宋简体"/>
          <w:color w:val="auto"/>
          <w:szCs w:val="32"/>
        </w:rPr>
        <w:t>（一）学科自我评估进展及问题分析</w:t>
      </w:r>
    </w:p>
    <w:p>
      <w:pPr>
        <w:pStyle w:val="2"/>
        <w:spacing w:line="500" w:lineRule="exact"/>
        <w:rPr>
          <w:rFonts w:ascii="仿宋" w:hAnsi="仿宋" w:eastAsia="仿宋" w:cs="方正仿宋简体"/>
        </w:rPr>
      </w:pPr>
      <w:r>
        <w:rPr>
          <w:rFonts w:hint="eastAsia" w:ascii="仿宋" w:hAnsi="仿宋" w:eastAsia="仿宋" w:cs="方正仿宋简体"/>
        </w:rPr>
        <w:t>结合国务院学位委员会、教育部《学位授权点合格评估办法》要求、以及</w:t>
      </w:r>
      <w:r>
        <w:rPr>
          <w:rFonts w:ascii="仿宋" w:hAnsi="仿宋" w:eastAsia="仿宋" w:cs="方正仿宋简体"/>
        </w:rPr>
        <w:t>2020-2025</w:t>
      </w:r>
      <w:r>
        <w:rPr>
          <w:rFonts w:hint="eastAsia" w:ascii="仿宋" w:hAnsi="仿宋" w:eastAsia="仿宋" w:cs="方正仿宋简体"/>
        </w:rPr>
        <w:t>年学位授权点周期性合格评估工作要求，学位点</w:t>
      </w:r>
      <w:r>
        <w:rPr>
          <w:rFonts w:ascii="仿宋" w:hAnsi="仿宋" w:eastAsia="仿宋" w:cs="方正仿宋简体"/>
        </w:rPr>
        <w:t>所在学院精心准备学科评估材料</w:t>
      </w:r>
      <w:r>
        <w:rPr>
          <w:rFonts w:hint="eastAsia" w:ascii="仿宋" w:hAnsi="仿宋" w:eastAsia="仿宋" w:cs="方正仿宋简体"/>
        </w:rPr>
        <w:t>。为了确保评估工作有序推进，学位点专门成立评估工作组，对</w:t>
      </w:r>
      <w:r>
        <w:rPr>
          <w:rFonts w:ascii="仿宋" w:hAnsi="仿宋" w:eastAsia="仿宋" w:cs="方正仿宋简体"/>
        </w:rPr>
        <w:t>相关工作</w:t>
      </w:r>
      <w:r>
        <w:rPr>
          <w:rFonts w:hint="eastAsia" w:ascii="仿宋" w:hAnsi="仿宋" w:eastAsia="仿宋" w:cs="方正仿宋简体"/>
        </w:rPr>
        <w:t>进行</w:t>
      </w:r>
      <w:r>
        <w:rPr>
          <w:rFonts w:ascii="仿宋" w:hAnsi="仿宋" w:eastAsia="仿宋" w:cs="方正仿宋简体"/>
        </w:rPr>
        <w:t>具体分工细化</w:t>
      </w:r>
      <w:r>
        <w:rPr>
          <w:rFonts w:hint="eastAsia" w:ascii="仿宋" w:hAnsi="仿宋" w:eastAsia="仿宋" w:cs="方正仿宋简体"/>
        </w:rPr>
        <w:t>，并分别成立</w:t>
      </w:r>
      <w:r>
        <w:rPr>
          <w:rFonts w:ascii="仿宋" w:hAnsi="仿宋" w:eastAsia="仿宋" w:cs="方正仿宋简体"/>
        </w:rPr>
        <w:t>师资队伍小组、人才培养质量小组、科学研究小组、社会服务小组、数据收集与处理小组，分工合作，认真准备评估材料。针对评估工作中</w:t>
      </w:r>
      <w:r>
        <w:rPr>
          <w:rFonts w:hint="eastAsia" w:ascii="仿宋" w:hAnsi="仿宋" w:eastAsia="仿宋" w:cs="方正仿宋简体"/>
        </w:rPr>
        <w:t>涉及到的</w:t>
      </w:r>
      <w:r>
        <w:rPr>
          <w:rFonts w:ascii="仿宋" w:hAnsi="仿宋" w:eastAsia="仿宋" w:cs="方正仿宋简体"/>
        </w:rPr>
        <w:t>基础</w:t>
      </w:r>
      <w:r>
        <w:rPr>
          <w:rFonts w:hint="eastAsia" w:ascii="仿宋" w:hAnsi="仿宋" w:eastAsia="仿宋" w:cs="方正仿宋简体"/>
        </w:rPr>
        <w:t>资料和</w:t>
      </w:r>
      <w:r>
        <w:rPr>
          <w:rFonts w:ascii="仿宋" w:hAnsi="仿宋" w:eastAsia="仿宋" w:cs="方正仿宋简体"/>
        </w:rPr>
        <w:t>数据进行梳理</w:t>
      </w:r>
      <w:r>
        <w:rPr>
          <w:rFonts w:hint="eastAsia" w:ascii="仿宋" w:hAnsi="仿宋" w:eastAsia="仿宋" w:cs="方正仿宋简体"/>
        </w:rPr>
        <w:t>，并就</w:t>
      </w:r>
      <w:r>
        <w:rPr>
          <w:rFonts w:ascii="仿宋" w:hAnsi="仿宋" w:eastAsia="仿宋" w:cs="方正仿宋简体"/>
        </w:rPr>
        <w:t>工作中遇到的问题</w:t>
      </w:r>
      <w:r>
        <w:rPr>
          <w:rFonts w:hint="eastAsia" w:ascii="仿宋" w:hAnsi="仿宋" w:eastAsia="仿宋" w:cs="方正仿宋简体"/>
        </w:rPr>
        <w:t>进行讨论</w:t>
      </w:r>
      <w:r>
        <w:rPr>
          <w:rFonts w:ascii="仿宋" w:hAnsi="仿宋" w:eastAsia="仿宋" w:cs="方正仿宋简体"/>
        </w:rPr>
        <w:t xml:space="preserve">解决、落实数据来源。 </w:t>
      </w:r>
    </w:p>
    <w:p>
      <w:pPr>
        <w:pStyle w:val="2"/>
        <w:spacing w:line="500" w:lineRule="exact"/>
        <w:rPr>
          <w:rStyle w:val="21"/>
          <w:rFonts w:ascii="仿宋" w:hAnsi="仿宋" w:eastAsia="仿宋" w:cs="方正仿宋简体"/>
          <w:szCs w:val="32"/>
        </w:rPr>
      </w:pPr>
      <w:r>
        <w:rPr>
          <w:rFonts w:hint="eastAsia" w:ascii="仿宋" w:hAnsi="仿宋" w:eastAsia="仿宋" w:cs="方正仿宋简体"/>
        </w:rPr>
        <w:t>结合评估数据，</w:t>
      </w:r>
      <w:r>
        <w:rPr>
          <w:rFonts w:ascii="仿宋" w:hAnsi="仿宋" w:eastAsia="仿宋" w:cs="方正仿宋简体"/>
        </w:rPr>
        <w:t>全面</w:t>
      </w:r>
      <w:r>
        <w:rPr>
          <w:rFonts w:hint="eastAsia" w:ascii="仿宋" w:hAnsi="仿宋" w:eastAsia="仿宋" w:cs="方正仿宋简体"/>
        </w:rPr>
        <w:t>梳理总结学科建设中</w:t>
      </w:r>
      <w:r>
        <w:rPr>
          <w:rFonts w:ascii="仿宋" w:hAnsi="仿宋" w:eastAsia="仿宋" w:cs="方正仿宋简体"/>
        </w:rPr>
        <w:t>的成效与不足</w:t>
      </w:r>
      <w:r>
        <w:rPr>
          <w:rFonts w:hint="eastAsia" w:ascii="仿宋" w:hAnsi="仿宋" w:eastAsia="仿宋" w:cs="方正仿宋简体"/>
        </w:rPr>
        <w:t>，当前存在的问题如下：</w:t>
      </w:r>
      <w:r>
        <w:rPr>
          <w:rStyle w:val="21"/>
          <w:rFonts w:hint="eastAsia" w:ascii="仿宋" w:hAnsi="仿宋" w:eastAsia="仿宋" w:cs="方正仿宋简体"/>
          <w:szCs w:val="32"/>
        </w:rPr>
        <w:t>第一，</w:t>
      </w:r>
      <w:r>
        <w:rPr>
          <w:rFonts w:ascii="仿宋" w:hAnsi="仿宋" w:eastAsia="仿宋" w:cs="方正仿宋简体"/>
        </w:rPr>
        <w:t>国际合作和交流方面</w:t>
      </w:r>
      <w:r>
        <w:rPr>
          <w:rFonts w:hint="eastAsia" w:ascii="仿宋" w:hAnsi="仿宋" w:eastAsia="仿宋" w:cs="方正仿宋简体"/>
        </w:rPr>
        <w:t>有待加强</w:t>
      </w:r>
      <w:r>
        <w:rPr>
          <w:rFonts w:ascii="仿宋" w:hAnsi="仿宋" w:eastAsia="仿宋" w:cs="方正仿宋简体"/>
        </w:rPr>
        <w:t>。国际科研合作交流对于人才培养、学科发展具有重要的推动作用</w:t>
      </w:r>
      <w:r>
        <w:rPr>
          <w:rFonts w:hint="eastAsia" w:ascii="仿宋" w:hAnsi="仿宋" w:eastAsia="仿宋" w:cs="方正仿宋简体"/>
        </w:rPr>
        <w:t>，但</w:t>
      </w:r>
      <w:r>
        <w:rPr>
          <w:rFonts w:ascii="仿宋" w:hAnsi="仿宋" w:eastAsia="仿宋" w:cs="方正仿宋简体"/>
        </w:rPr>
        <w:t>由于疫情等原因，</w:t>
      </w:r>
      <w:r>
        <w:rPr>
          <w:rFonts w:hint="eastAsia" w:ascii="仿宋" w:hAnsi="仿宋" w:eastAsia="仿宋" w:cs="方正仿宋简体"/>
        </w:rPr>
        <w:t>师生暂停了</w:t>
      </w:r>
      <w:r>
        <w:rPr>
          <w:rFonts w:ascii="仿宋" w:hAnsi="仿宋" w:eastAsia="仿宋" w:cs="方正仿宋简体"/>
        </w:rPr>
        <w:t>参加国际学术</w:t>
      </w:r>
      <w:r>
        <w:rPr>
          <w:rFonts w:hint="eastAsia" w:ascii="仿宋" w:hAnsi="仿宋" w:eastAsia="仿宋" w:cs="方正仿宋简体"/>
        </w:rPr>
        <w:t>交流活动；第二，研究生实践基地建设有待进一步完善。</w:t>
      </w:r>
      <w:r>
        <w:rPr>
          <w:rStyle w:val="21"/>
          <w:rFonts w:hint="eastAsia" w:ascii="仿宋" w:hAnsi="仿宋" w:eastAsia="仿宋" w:cs="方正仿宋简体"/>
          <w:szCs w:val="32"/>
        </w:rPr>
        <w:t>审计实践随着经济环境的变化在不断变化。审计专业硕士不仅应当具备理论知识，更加应当注重理论知识在复杂且很难预测的工作环境中的应用，尤其是能够将理论知识应用在不同的审计实践场景，养成问题意识，及时发现问题并创造性的解决问题。然而，由于学校的人才培养目标与企业经营目标存在差异，短时间内</w:t>
      </w:r>
      <w:r>
        <w:rPr>
          <w:rStyle w:val="21"/>
          <w:rFonts w:hint="eastAsia" w:ascii="仿宋" w:hAnsi="仿宋" w:eastAsia="仿宋" w:cs="方正仿宋简体"/>
          <w:color w:val="000000" w:themeColor="text1"/>
          <w:szCs w:val="32"/>
          <w14:textFill>
            <w14:solidFill>
              <w14:schemeClr w14:val="tx1"/>
            </w14:solidFill>
          </w14:textFill>
        </w:rPr>
        <w:t>企业参与实践可能会增加潜在的运营成本，导致企业很难有动力为学生提供关键岗位的实践机会，</w:t>
      </w:r>
      <w:r>
        <w:rPr>
          <w:rStyle w:val="21"/>
          <w:rFonts w:hint="eastAsia" w:ascii="仿宋" w:hAnsi="仿宋" w:eastAsia="仿宋" w:cs="方正仿宋简体"/>
          <w:szCs w:val="32"/>
        </w:rPr>
        <w:t>没有完全实现</w:t>
      </w:r>
      <w:r>
        <w:rPr>
          <w:rStyle w:val="21"/>
          <w:rFonts w:ascii="仿宋" w:hAnsi="仿宋" w:eastAsia="仿宋" w:cs="方正仿宋简体"/>
          <w:szCs w:val="32"/>
        </w:rPr>
        <w:t>通过专业实践环节来实现人才培养的目的</w:t>
      </w:r>
      <w:r>
        <w:rPr>
          <w:rStyle w:val="21"/>
          <w:rFonts w:hint="eastAsia" w:ascii="仿宋" w:hAnsi="仿宋" w:eastAsia="仿宋" w:cs="方正仿宋简体"/>
          <w:szCs w:val="32"/>
        </w:rPr>
        <w:t>，提高</w:t>
      </w:r>
      <w:r>
        <w:rPr>
          <w:rStyle w:val="21"/>
          <w:rFonts w:ascii="仿宋" w:hAnsi="仿宋" w:eastAsia="仿宋" w:cs="方正仿宋简体"/>
          <w:szCs w:val="32"/>
        </w:rPr>
        <w:t>研究生解决实际问题的意识和能力</w:t>
      </w:r>
      <w:r>
        <w:rPr>
          <w:rStyle w:val="21"/>
          <w:rFonts w:hint="eastAsia" w:ascii="仿宋" w:hAnsi="仿宋" w:eastAsia="仿宋" w:cs="方正仿宋简体"/>
          <w:szCs w:val="32"/>
        </w:rPr>
        <w:t>。</w:t>
      </w:r>
    </w:p>
    <w:p>
      <w:pPr>
        <w:pStyle w:val="2"/>
        <w:spacing w:before="156" w:beforeLines="50" w:after="156" w:afterLines="50" w:line="500" w:lineRule="exact"/>
        <w:rPr>
          <w:rStyle w:val="21"/>
          <w:rFonts w:ascii="方正仿宋简体" w:hAnsi="方正仿宋简体" w:cs="方正仿宋简体"/>
          <w:color w:val="auto"/>
          <w:szCs w:val="32"/>
        </w:rPr>
      </w:pPr>
      <w:r>
        <w:rPr>
          <w:rStyle w:val="21"/>
          <w:rFonts w:hint="eastAsia" w:ascii="方正仿宋简体" w:hAnsi="方正仿宋简体" w:cs="方正仿宋简体"/>
          <w:color w:val="auto"/>
          <w:szCs w:val="32"/>
        </w:rPr>
        <w:t>（二）学位论文抽检、盲审情况</w:t>
      </w:r>
    </w:p>
    <w:p>
      <w:pPr>
        <w:pStyle w:val="2"/>
        <w:spacing w:line="500" w:lineRule="exact"/>
        <w:rPr>
          <w:rFonts w:ascii="仿宋" w:hAnsi="仿宋" w:eastAsia="仿宋" w:cs="方正仿宋简体"/>
        </w:rPr>
      </w:pPr>
      <w:r>
        <w:rPr>
          <w:rStyle w:val="21"/>
          <w:rFonts w:hint="eastAsia" w:ascii="仿宋" w:hAnsi="仿宋" w:eastAsia="仿宋" w:cs="方正仿宋简体"/>
          <w:szCs w:val="32"/>
        </w:rPr>
        <w:t>本学位点学位论文质量总体良好。研究生毕业论文全部送校外专家盲审，2</w:t>
      </w:r>
      <w:r>
        <w:rPr>
          <w:rStyle w:val="21"/>
          <w:rFonts w:ascii="仿宋" w:hAnsi="仿宋" w:eastAsia="仿宋" w:cs="方正仿宋简体"/>
          <w:szCs w:val="32"/>
        </w:rPr>
        <w:t>020</w:t>
      </w:r>
      <w:r>
        <w:rPr>
          <w:rStyle w:val="21"/>
          <w:rFonts w:hint="eastAsia" w:ascii="仿宋" w:hAnsi="仿宋" w:eastAsia="仿宋" w:cs="方正仿宋简体"/>
          <w:szCs w:val="32"/>
        </w:rPr>
        <w:t>年度，</w:t>
      </w:r>
      <w:r>
        <w:rPr>
          <w:rFonts w:hint="eastAsia" w:ascii="仿宋" w:hAnsi="仿宋" w:eastAsia="仿宋" w:cs="方正仿宋简体"/>
        </w:rPr>
        <w:t>盲审通过合格率为8</w:t>
      </w:r>
      <w:r>
        <w:rPr>
          <w:rFonts w:ascii="仿宋" w:hAnsi="仿宋" w:eastAsia="仿宋" w:cs="方正仿宋简体"/>
        </w:rPr>
        <w:t>5.2</w:t>
      </w:r>
      <w:r>
        <w:rPr>
          <w:rFonts w:hint="eastAsia" w:ascii="仿宋" w:hAnsi="仿宋" w:eastAsia="仿宋" w:cs="方正仿宋简体"/>
        </w:rPr>
        <w:t>%，</w:t>
      </w:r>
      <w:r>
        <w:rPr>
          <w:rStyle w:val="21"/>
          <w:rFonts w:hint="eastAsia" w:ascii="仿宋" w:hAnsi="仿宋" w:eastAsia="仿宋" w:cs="方正仿宋简体"/>
          <w:szCs w:val="32"/>
        </w:rPr>
        <w:t>抽查合格率1</w:t>
      </w:r>
      <w:r>
        <w:rPr>
          <w:rStyle w:val="21"/>
          <w:rFonts w:ascii="仿宋" w:hAnsi="仿宋" w:eastAsia="仿宋" w:cs="方正仿宋简体"/>
          <w:szCs w:val="32"/>
        </w:rPr>
        <w:t>00%</w:t>
      </w:r>
      <w:r>
        <w:rPr>
          <w:rStyle w:val="21"/>
          <w:rFonts w:hint="eastAsia" w:ascii="仿宋" w:hAnsi="仿宋" w:eastAsia="仿宋" w:cs="方正仿宋简体"/>
          <w:szCs w:val="32"/>
        </w:rPr>
        <w:t>。2</w:t>
      </w:r>
      <w:r>
        <w:rPr>
          <w:rStyle w:val="21"/>
          <w:rFonts w:ascii="仿宋" w:hAnsi="仿宋" w:eastAsia="仿宋" w:cs="方正仿宋简体"/>
          <w:szCs w:val="32"/>
        </w:rPr>
        <w:t>021</w:t>
      </w:r>
      <w:r>
        <w:rPr>
          <w:rStyle w:val="21"/>
          <w:rFonts w:hint="eastAsia" w:ascii="仿宋" w:hAnsi="仿宋" w:eastAsia="仿宋" w:cs="方正仿宋简体"/>
          <w:szCs w:val="32"/>
        </w:rPr>
        <w:t>年度，盲审送审2</w:t>
      </w:r>
      <w:r>
        <w:rPr>
          <w:rStyle w:val="21"/>
          <w:rFonts w:ascii="仿宋" w:hAnsi="仿宋" w:eastAsia="仿宋" w:cs="方正仿宋简体"/>
          <w:szCs w:val="32"/>
        </w:rPr>
        <w:t>0</w:t>
      </w:r>
      <w:r>
        <w:rPr>
          <w:rStyle w:val="21"/>
          <w:rFonts w:hint="eastAsia" w:ascii="仿宋" w:hAnsi="仿宋" w:eastAsia="仿宋" w:cs="方正仿宋简体"/>
          <w:szCs w:val="32"/>
        </w:rPr>
        <w:t>篇，通过1</w:t>
      </w:r>
      <w:r>
        <w:rPr>
          <w:rStyle w:val="21"/>
          <w:rFonts w:ascii="仿宋" w:hAnsi="仿宋" w:eastAsia="仿宋" w:cs="方正仿宋简体"/>
          <w:szCs w:val="32"/>
        </w:rPr>
        <w:t>8</w:t>
      </w:r>
      <w:r>
        <w:rPr>
          <w:rStyle w:val="21"/>
          <w:rFonts w:hint="eastAsia" w:ascii="仿宋" w:hAnsi="仿宋" w:eastAsia="仿宋" w:cs="方正仿宋简体"/>
          <w:szCs w:val="32"/>
        </w:rPr>
        <w:t>篇，盲审通过率9</w:t>
      </w:r>
      <w:r>
        <w:rPr>
          <w:rStyle w:val="21"/>
          <w:rFonts w:ascii="仿宋" w:hAnsi="仿宋" w:eastAsia="仿宋" w:cs="方正仿宋简体"/>
          <w:szCs w:val="32"/>
        </w:rPr>
        <w:t>0%</w:t>
      </w:r>
      <w:r>
        <w:rPr>
          <w:rStyle w:val="21"/>
          <w:rFonts w:hint="eastAsia" w:ascii="仿宋" w:hAnsi="仿宋" w:eastAsia="仿宋" w:cs="方正仿宋简体"/>
          <w:szCs w:val="32"/>
        </w:rPr>
        <w:t>；论文被省学位办抽查2篇，全部合格。</w:t>
      </w:r>
    </w:p>
    <w:p>
      <w:pPr>
        <w:widowControl/>
        <w:snapToGrid w:val="0"/>
        <w:spacing w:before="156" w:beforeLines="50" w:after="156" w:afterLines="50" w:line="500" w:lineRule="exact"/>
        <w:ind w:firstLine="640" w:firstLineChars="200"/>
        <w:textAlignment w:val="baseline"/>
        <w:rPr>
          <w:rFonts w:ascii="黑体" w:hAnsi="黑体" w:eastAsia="黑体" w:cs="黑体"/>
          <w:bCs/>
          <w:szCs w:val="32"/>
        </w:rPr>
      </w:pPr>
      <w:r>
        <w:rPr>
          <w:rStyle w:val="21"/>
          <w:rFonts w:hint="eastAsia" w:ascii="黑体" w:hAnsi="黑体" w:eastAsia="黑体" w:cs="黑体"/>
          <w:szCs w:val="32"/>
        </w:rPr>
        <w:t>六、</w:t>
      </w:r>
      <w:r>
        <w:rPr>
          <w:rStyle w:val="21"/>
          <w:rFonts w:hint="eastAsia" w:ascii="黑体" w:hAnsi="黑体" w:eastAsia="黑体" w:cs="黑体"/>
          <w:bCs/>
          <w:szCs w:val="32"/>
        </w:rPr>
        <w:t>改进措施</w:t>
      </w:r>
    </w:p>
    <w:p>
      <w:pPr>
        <w:pStyle w:val="2"/>
        <w:spacing w:line="500" w:lineRule="exact"/>
        <w:rPr>
          <w:rStyle w:val="21"/>
          <w:rFonts w:ascii="仿宋" w:hAnsi="仿宋" w:eastAsia="仿宋" w:cs="方正仿宋简体"/>
          <w:szCs w:val="32"/>
        </w:rPr>
      </w:pPr>
      <w:r>
        <w:rPr>
          <w:rStyle w:val="21"/>
          <w:rFonts w:hint="eastAsia" w:ascii="仿宋" w:hAnsi="仿宋" w:eastAsia="仿宋" w:cs="方正仿宋简体"/>
          <w:szCs w:val="32"/>
        </w:rPr>
        <w:t>1</w:t>
      </w:r>
      <w:r>
        <w:rPr>
          <w:rStyle w:val="21"/>
          <w:rFonts w:ascii="仿宋" w:hAnsi="仿宋" w:eastAsia="仿宋" w:cs="方正仿宋简体"/>
          <w:szCs w:val="32"/>
        </w:rPr>
        <w:t>.</w:t>
      </w:r>
      <w:r>
        <w:rPr>
          <w:rFonts w:ascii="仿宋" w:hAnsi="仿宋" w:eastAsia="仿宋" w:cs="方正仿宋简体"/>
        </w:rPr>
        <w:t>学位点积极鼓励教职工</w:t>
      </w:r>
      <w:r>
        <w:rPr>
          <w:rFonts w:hint="eastAsia" w:ascii="仿宋" w:hAnsi="仿宋" w:eastAsia="仿宋" w:cs="方正仿宋简体"/>
        </w:rPr>
        <w:t>出国</w:t>
      </w:r>
      <w:r>
        <w:rPr>
          <w:rFonts w:ascii="仿宋" w:hAnsi="仿宋" w:eastAsia="仿宋" w:cs="方正仿宋简体"/>
        </w:rPr>
        <w:t>参加学术会议进行合作交流。以</w:t>
      </w:r>
      <w:r>
        <w:rPr>
          <w:rFonts w:hint="eastAsia" w:ascii="仿宋" w:hAnsi="仿宋" w:eastAsia="仿宋" w:cs="方正仿宋简体"/>
        </w:rPr>
        <w:t>“蓝天计划”为</w:t>
      </w:r>
      <w:r>
        <w:rPr>
          <w:rFonts w:ascii="仿宋" w:hAnsi="仿宋" w:eastAsia="仿宋" w:cs="方正仿宋简体"/>
        </w:rPr>
        <w:t>依托，把优秀教师选派到国外高水平大学学习深造</w:t>
      </w:r>
      <w:r>
        <w:rPr>
          <w:rFonts w:hint="eastAsia" w:ascii="仿宋" w:hAnsi="仿宋" w:eastAsia="仿宋" w:cs="方正仿宋简体"/>
        </w:rPr>
        <w:t>，</w:t>
      </w:r>
      <w:r>
        <w:rPr>
          <w:rFonts w:ascii="仿宋" w:hAnsi="仿宋" w:eastAsia="仿宋" w:cs="方正仿宋简体"/>
        </w:rPr>
        <w:t>有计划地选派优秀教师出国积极开展学术交流、学者互访等各种交流活动，促进本学位科研水平的不断提高和学位建设整体发展。</w:t>
      </w:r>
      <w:r>
        <w:rPr>
          <w:rFonts w:hint="eastAsia" w:ascii="仿宋" w:hAnsi="仿宋" w:eastAsia="仿宋" w:cs="方正仿宋简体"/>
        </w:rPr>
        <w:t>邀请</w:t>
      </w:r>
      <w:r>
        <w:rPr>
          <w:rFonts w:ascii="仿宋" w:hAnsi="仿宋" w:eastAsia="仿宋" w:cs="方正仿宋简体"/>
        </w:rPr>
        <w:t>国际知名</w:t>
      </w:r>
      <w:r>
        <w:rPr>
          <w:rFonts w:hint="eastAsia" w:ascii="仿宋" w:hAnsi="仿宋" w:eastAsia="仿宋" w:cs="方正仿宋简体"/>
        </w:rPr>
        <w:t>学者到校开展讲座，</w:t>
      </w:r>
      <w:r>
        <w:rPr>
          <w:rFonts w:ascii="仿宋" w:hAnsi="仿宋" w:eastAsia="仿宋" w:cs="方正仿宋简体"/>
        </w:rPr>
        <w:t>不断加强国际交流合作</w:t>
      </w:r>
      <w:r>
        <w:rPr>
          <w:rFonts w:hint="eastAsia" w:ascii="仿宋" w:hAnsi="仿宋" w:eastAsia="仿宋" w:cs="方正仿宋简体"/>
        </w:rPr>
        <w:t>。</w:t>
      </w:r>
    </w:p>
    <w:p>
      <w:pPr>
        <w:pStyle w:val="2"/>
        <w:spacing w:line="500" w:lineRule="exact"/>
        <w:rPr>
          <w:rStyle w:val="21"/>
          <w:rFonts w:ascii="仿宋" w:hAnsi="仿宋" w:eastAsia="仿宋" w:cs="方正仿宋简体"/>
          <w:szCs w:val="32"/>
        </w:rPr>
      </w:pPr>
      <w:r>
        <w:rPr>
          <w:rFonts w:hint="eastAsia" w:ascii="仿宋" w:hAnsi="仿宋" w:eastAsia="仿宋" w:cs="方正仿宋简体"/>
        </w:rPr>
        <w:t>2</w:t>
      </w:r>
      <w:r>
        <w:rPr>
          <w:rFonts w:ascii="仿宋" w:hAnsi="仿宋" w:eastAsia="仿宋" w:cs="方正仿宋简体"/>
        </w:rPr>
        <w:t>.</w:t>
      </w:r>
      <w:r>
        <w:rPr>
          <w:rStyle w:val="21"/>
          <w:rFonts w:hint="eastAsia" w:ascii="仿宋" w:hAnsi="仿宋" w:eastAsia="仿宋" w:cs="方正仿宋简体"/>
          <w:szCs w:val="32"/>
        </w:rPr>
        <w:t>完善</w:t>
      </w:r>
      <w:bookmarkStart w:id="14" w:name="_Hlk93348829"/>
      <w:r>
        <w:rPr>
          <w:rStyle w:val="21"/>
          <w:rFonts w:hint="eastAsia" w:ascii="仿宋" w:hAnsi="仿宋" w:eastAsia="仿宋" w:cs="方正仿宋简体"/>
          <w:szCs w:val="32"/>
        </w:rPr>
        <w:t>研究生实践基地</w:t>
      </w:r>
      <w:bookmarkEnd w:id="14"/>
      <w:r>
        <w:rPr>
          <w:rStyle w:val="21"/>
          <w:rFonts w:hint="eastAsia" w:ascii="仿宋" w:hAnsi="仿宋" w:eastAsia="仿宋" w:cs="方正仿宋简体"/>
          <w:szCs w:val="32"/>
        </w:rPr>
        <w:t>建设，加强对审计硕士专业实践活动的过程管理。基地建设应以联合培养、优势互补、注重审计知识和技能迁移应用为建设原则，明确相应的岗位以及岗位职责，并建立实践过程监督机制。同时，深化实务精英进课堂活动。邀请</w:t>
      </w:r>
      <w:r>
        <w:rPr>
          <w:rStyle w:val="21"/>
          <w:rFonts w:ascii="仿宋" w:hAnsi="仿宋" w:eastAsia="仿宋" w:cs="方正仿宋简体"/>
          <w:szCs w:val="32"/>
        </w:rPr>
        <w:t>具备较高理论水平和丰富实践经验的审计</w:t>
      </w:r>
      <w:r>
        <w:rPr>
          <w:rStyle w:val="21"/>
          <w:rFonts w:hint="eastAsia" w:ascii="仿宋" w:hAnsi="仿宋" w:eastAsia="仿宋" w:cs="方正仿宋简体"/>
          <w:szCs w:val="32"/>
        </w:rPr>
        <w:t>实务精英深度参与审计硕士课程的开发，结合最新的审计实践动态，常态化定期开展政策讲解和实务指导，整体上提高研究生实践能力。</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textAlignment w:val="baseline"/>
      <w:rPr>
        <w:rStyle w:val="21"/>
        <w:rFonts w:ascii="Times New Roman" w:hAnsi="Times New Roman" w:eastAsia="宋体"/>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Q0i1sLgIAAFIEAAAOAAAAZHJzL2Uyb0RvYy54bWytVMtuEzEU3SPx&#10;D5b3ZJI0L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J2MYOCyjizevh4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UNItbC4CAABSBAAADgAAAAAAAAABACAAAAAgAQAAZHJzL2Uyb0RvYy54bWxQSwUGAAAA&#10;AAYABgBZAQAAwA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wps:txbx>
                    <wps:bodyPr lIns="0" tIns="0" rIns="0" bIns="0" upright="1"/>
                  </wps:wsp>
                </a:graphicData>
              </a:graphic>
            </wp:anchor>
          </w:drawing>
        </mc:Choice>
        <mc:Fallback>
          <w:pict>
            <v:shape id="_x0000_s1026"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zHox574BAAB9AwAADgAAAAAAAAABACAAAAAkAQAAZHJzL2Uyb0RvYy54bWxQ&#10;SwUGAAAAAAYABgBZAQAAVAUAAAAA&#10;">
              <v:fill on="f" focussize="0,0"/>
              <v:stroke on="f" weight="1.25pt"/>
              <v:imagedata o:title=""/>
              <o:lock v:ext="edit" aspectratio="f"/>
              <v:textbox inset="0mm,0mm,0mm,0mm">
                <w:txbxContent>
                  <w:p>
                    <w:pPr>
                      <w:pStyle w:val="7"/>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jc w:val="center"/>
      <w:textAlignment w:val="baseline"/>
      <w:rPr>
        <w:rStyle w:val="21"/>
        <w:rFonts w:ascii="Times New Roman" w:hAnsi="Times New Roman" w:eastAsia="宋体"/>
        <w:sz w:val="28"/>
        <w:szCs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MiyCei4CAABSBAAADgAAAAAAAAABACAAAAAgAQAAZHJzL2Uyb0RvYy54bWxQSwUGAAAA&#10;AAYABgBZAQAAwAUAAAAA&#10;">
              <v:fill on="f" focussize="0,0"/>
              <v:stroke on="f" weight="0.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7"/>
      <w:widowControl/>
      <w:jc w:val="center"/>
      <w:textAlignment w:val="baseline"/>
      <w:rPr>
        <w:rStyle w:val="21"/>
        <w:rFonts w:ascii="Times New Roman" w:hAnsi="Times New Roman"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7jl9IAAAAFAQAADwAAAAAAAAABACAAAAAiAAAAZHJzL2Rvd25y&#10;ZXYueG1sUEsBAhQAFAAAAAgAh07iQKiLVvTLAQAAlgMAAA4AAAAAAAAAAQAgAAAAIQEAAGRycy9l&#10;Mm9Eb2MueG1sUEsFBgAAAAAGAAYAWQEAAF4FAAAAAA==&#10;">
              <v:fill on="f" focussize="0,0"/>
              <v:stroke on="f" weight="1.25pt"/>
              <v:imagedata o:title=""/>
              <o:lock v:ext="edit" aspectratio="f"/>
              <v:textbox inset="0mm,0mm,0mm,0mm">
                <w:txbxContent>
                  <w:p>
                    <w:pPr>
                      <w:pStyle w:val="7"/>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EB"/>
    <w:rsid w:val="00000DAC"/>
    <w:rsid w:val="0000504C"/>
    <w:rsid w:val="000325A6"/>
    <w:rsid w:val="00061B93"/>
    <w:rsid w:val="000628BB"/>
    <w:rsid w:val="000654B9"/>
    <w:rsid w:val="00072396"/>
    <w:rsid w:val="00075D5C"/>
    <w:rsid w:val="00082791"/>
    <w:rsid w:val="0008332F"/>
    <w:rsid w:val="000A1D9E"/>
    <w:rsid w:val="000B29AC"/>
    <w:rsid w:val="000D40FF"/>
    <w:rsid w:val="000E01FD"/>
    <w:rsid w:val="000F1B74"/>
    <w:rsid w:val="000F6A57"/>
    <w:rsid w:val="00115E3F"/>
    <w:rsid w:val="001200D2"/>
    <w:rsid w:val="001265CF"/>
    <w:rsid w:val="00131AA5"/>
    <w:rsid w:val="00133E49"/>
    <w:rsid w:val="00151B19"/>
    <w:rsid w:val="001555CC"/>
    <w:rsid w:val="00167637"/>
    <w:rsid w:val="0017268C"/>
    <w:rsid w:val="00172EC4"/>
    <w:rsid w:val="001730D7"/>
    <w:rsid w:val="001827B0"/>
    <w:rsid w:val="0019079F"/>
    <w:rsid w:val="001B0F51"/>
    <w:rsid w:val="00211B18"/>
    <w:rsid w:val="002225F2"/>
    <w:rsid w:val="00225BDF"/>
    <w:rsid w:val="00233885"/>
    <w:rsid w:val="00245E5C"/>
    <w:rsid w:val="002807B6"/>
    <w:rsid w:val="0029109D"/>
    <w:rsid w:val="002A0F66"/>
    <w:rsid w:val="002A2A8F"/>
    <w:rsid w:val="002A61C8"/>
    <w:rsid w:val="002B3524"/>
    <w:rsid w:val="002B52F7"/>
    <w:rsid w:val="002E5331"/>
    <w:rsid w:val="00311A06"/>
    <w:rsid w:val="00324DD6"/>
    <w:rsid w:val="00340C6E"/>
    <w:rsid w:val="00374002"/>
    <w:rsid w:val="0037404E"/>
    <w:rsid w:val="00374693"/>
    <w:rsid w:val="003949D1"/>
    <w:rsid w:val="003A7333"/>
    <w:rsid w:val="003B7D40"/>
    <w:rsid w:val="003C3612"/>
    <w:rsid w:val="003C37A9"/>
    <w:rsid w:val="00406D52"/>
    <w:rsid w:val="00407082"/>
    <w:rsid w:val="004303B8"/>
    <w:rsid w:val="00442A4C"/>
    <w:rsid w:val="00446855"/>
    <w:rsid w:val="00451F04"/>
    <w:rsid w:val="00471788"/>
    <w:rsid w:val="0047730D"/>
    <w:rsid w:val="0048360B"/>
    <w:rsid w:val="00492710"/>
    <w:rsid w:val="004942A8"/>
    <w:rsid w:val="00494471"/>
    <w:rsid w:val="004D58C8"/>
    <w:rsid w:val="0051540F"/>
    <w:rsid w:val="005438A6"/>
    <w:rsid w:val="00560DC7"/>
    <w:rsid w:val="00566B75"/>
    <w:rsid w:val="00570CFF"/>
    <w:rsid w:val="005777CB"/>
    <w:rsid w:val="005A1394"/>
    <w:rsid w:val="005A7133"/>
    <w:rsid w:val="005C3E22"/>
    <w:rsid w:val="005D0C3E"/>
    <w:rsid w:val="005D7729"/>
    <w:rsid w:val="006005C2"/>
    <w:rsid w:val="00602795"/>
    <w:rsid w:val="00615BD0"/>
    <w:rsid w:val="00630341"/>
    <w:rsid w:val="00634389"/>
    <w:rsid w:val="00661F17"/>
    <w:rsid w:val="00666F88"/>
    <w:rsid w:val="00671A33"/>
    <w:rsid w:val="0069051F"/>
    <w:rsid w:val="006905C8"/>
    <w:rsid w:val="006A131E"/>
    <w:rsid w:val="006A2F70"/>
    <w:rsid w:val="006B292C"/>
    <w:rsid w:val="006C060D"/>
    <w:rsid w:val="006D0D71"/>
    <w:rsid w:val="006F45AF"/>
    <w:rsid w:val="006F4D83"/>
    <w:rsid w:val="00702CF9"/>
    <w:rsid w:val="00711794"/>
    <w:rsid w:val="00722BEB"/>
    <w:rsid w:val="00747B09"/>
    <w:rsid w:val="00776F50"/>
    <w:rsid w:val="007852C0"/>
    <w:rsid w:val="00794AF5"/>
    <w:rsid w:val="007B62CA"/>
    <w:rsid w:val="007E3CEF"/>
    <w:rsid w:val="00805E48"/>
    <w:rsid w:val="0083154C"/>
    <w:rsid w:val="00833F43"/>
    <w:rsid w:val="008445C3"/>
    <w:rsid w:val="00850231"/>
    <w:rsid w:val="00866BB6"/>
    <w:rsid w:val="0086718E"/>
    <w:rsid w:val="0087260A"/>
    <w:rsid w:val="00884804"/>
    <w:rsid w:val="008E120A"/>
    <w:rsid w:val="008E2783"/>
    <w:rsid w:val="00926928"/>
    <w:rsid w:val="00927A5B"/>
    <w:rsid w:val="00927A6E"/>
    <w:rsid w:val="00927F34"/>
    <w:rsid w:val="009353D6"/>
    <w:rsid w:val="0094767F"/>
    <w:rsid w:val="0096472B"/>
    <w:rsid w:val="009A0246"/>
    <w:rsid w:val="009E3D65"/>
    <w:rsid w:val="00A010CB"/>
    <w:rsid w:val="00A048F5"/>
    <w:rsid w:val="00A1388F"/>
    <w:rsid w:val="00A14A4A"/>
    <w:rsid w:val="00A16998"/>
    <w:rsid w:val="00A3074F"/>
    <w:rsid w:val="00A332E5"/>
    <w:rsid w:val="00A349CF"/>
    <w:rsid w:val="00A44209"/>
    <w:rsid w:val="00A46E5B"/>
    <w:rsid w:val="00A4733F"/>
    <w:rsid w:val="00A476A9"/>
    <w:rsid w:val="00A54693"/>
    <w:rsid w:val="00A62CF6"/>
    <w:rsid w:val="00A94D50"/>
    <w:rsid w:val="00AA6ABC"/>
    <w:rsid w:val="00AA7E35"/>
    <w:rsid w:val="00AB07DF"/>
    <w:rsid w:val="00AC6874"/>
    <w:rsid w:val="00AE07A8"/>
    <w:rsid w:val="00AE0DC8"/>
    <w:rsid w:val="00AE2130"/>
    <w:rsid w:val="00AE48A7"/>
    <w:rsid w:val="00AF0734"/>
    <w:rsid w:val="00AF7699"/>
    <w:rsid w:val="00AF7AA9"/>
    <w:rsid w:val="00B02CEE"/>
    <w:rsid w:val="00B17DEC"/>
    <w:rsid w:val="00B237D8"/>
    <w:rsid w:val="00B30D35"/>
    <w:rsid w:val="00B463A5"/>
    <w:rsid w:val="00B56428"/>
    <w:rsid w:val="00B867DE"/>
    <w:rsid w:val="00B91888"/>
    <w:rsid w:val="00B94894"/>
    <w:rsid w:val="00BA1230"/>
    <w:rsid w:val="00BA40FA"/>
    <w:rsid w:val="00BB71E0"/>
    <w:rsid w:val="00BD22AD"/>
    <w:rsid w:val="00BD2A33"/>
    <w:rsid w:val="00BE79B9"/>
    <w:rsid w:val="00C2500B"/>
    <w:rsid w:val="00C331A4"/>
    <w:rsid w:val="00C37D2A"/>
    <w:rsid w:val="00C44770"/>
    <w:rsid w:val="00C51DF4"/>
    <w:rsid w:val="00C664F6"/>
    <w:rsid w:val="00C73EFF"/>
    <w:rsid w:val="00C75218"/>
    <w:rsid w:val="00C87027"/>
    <w:rsid w:val="00C87037"/>
    <w:rsid w:val="00C908E7"/>
    <w:rsid w:val="00CB1256"/>
    <w:rsid w:val="00CB288B"/>
    <w:rsid w:val="00CB72D1"/>
    <w:rsid w:val="00CC7EED"/>
    <w:rsid w:val="00CF0334"/>
    <w:rsid w:val="00CF0429"/>
    <w:rsid w:val="00D16F7C"/>
    <w:rsid w:val="00D26530"/>
    <w:rsid w:val="00D44918"/>
    <w:rsid w:val="00D45E09"/>
    <w:rsid w:val="00D64942"/>
    <w:rsid w:val="00D77773"/>
    <w:rsid w:val="00D86631"/>
    <w:rsid w:val="00D877A0"/>
    <w:rsid w:val="00D91870"/>
    <w:rsid w:val="00D926E8"/>
    <w:rsid w:val="00D92FA5"/>
    <w:rsid w:val="00D94DEB"/>
    <w:rsid w:val="00DA3ADF"/>
    <w:rsid w:val="00DA77BC"/>
    <w:rsid w:val="00DB43E2"/>
    <w:rsid w:val="00DD5606"/>
    <w:rsid w:val="00DE7A19"/>
    <w:rsid w:val="00E16624"/>
    <w:rsid w:val="00E24BDA"/>
    <w:rsid w:val="00E276FF"/>
    <w:rsid w:val="00E346BC"/>
    <w:rsid w:val="00E37016"/>
    <w:rsid w:val="00E40961"/>
    <w:rsid w:val="00E53D40"/>
    <w:rsid w:val="00E5610F"/>
    <w:rsid w:val="00E628B1"/>
    <w:rsid w:val="00E632CA"/>
    <w:rsid w:val="00E66277"/>
    <w:rsid w:val="00E76539"/>
    <w:rsid w:val="00E873F8"/>
    <w:rsid w:val="00E93819"/>
    <w:rsid w:val="00EB0639"/>
    <w:rsid w:val="00EC3B75"/>
    <w:rsid w:val="00EE0D0B"/>
    <w:rsid w:val="00EF1BE0"/>
    <w:rsid w:val="00F13D3C"/>
    <w:rsid w:val="00F1437A"/>
    <w:rsid w:val="00F14FE1"/>
    <w:rsid w:val="00F20EB1"/>
    <w:rsid w:val="00F365CC"/>
    <w:rsid w:val="00F46832"/>
    <w:rsid w:val="00F676D4"/>
    <w:rsid w:val="00FA1047"/>
    <w:rsid w:val="00FA1542"/>
    <w:rsid w:val="00FC403A"/>
    <w:rsid w:val="00FC6633"/>
    <w:rsid w:val="00FD2B65"/>
    <w:rsid w:val="00FE0A2A"/>
    <w:rsid w:val="00FF6831"/>
    <w:rsid w:val="00FF7C4F"/>
    <w:rsid w:val="00FF7E14"/>
    <w:rsid w:val="05235D34"/>
    <w:rsid w:val="06A20A39"/>
    <w:rsid w:val="08D12F00"/>
    <w:rsid w:val="0B1E3C3C"/>
    <w:rsid w:val="0B3049D6"/>
    <w:rsid w:val="0B692FE1"/>
    <w:rsid w:val="0C480258"/>
    <w:rsid w:val="0CD00F0A"/>
    <w:rsid w:val="0EBD0E70"/>
    <w:rsid w:val="0F712BB6"/>
    <w:rsid w:val="102354BF"/>
    <w:rsid w:val="121A010C"/>
    <w:rsid w:val="14EE629B"/>
    <w:rsid w:val="16F83C72"/>
    <w:rsid w:val="179648C8"/>
    <w:rsid w:val="1CC25C22"/>
    <w:rsid w:val="1D2C7F08"/>
    <w:rsid w:val="1E501745"/>
    <w:rsid w:val="204737CE"/>
    <w:rsid w:val="2157330E"/>
    <w:rsid w:val="22246072"/>
    <w:rsid w:val="273B2C0F"/>
    <w:rsid w:val="27A929FE"/>
    <w:rsid w:val="2C21126A"/>
    <w:rsid w:val="2C752F1C"/>
    <w:rsid w:val="2D970E2C"/>
    <w:rsid w:val="31232758"/>
    <w:rsid w:val="33D83D93"/>
    <w:rsid w:val="34A54B0F"/>
    <w:rsid w:val="38147E3B"/>
    <w:rsid w:val="382D1BB1"/>
    <w:rsid w:val="389D0C80"/>
    <w:rsid w:val="3B857ED9"/>
    <w:rsid w:val="3B9B0C14"/>
    <w:rsid w:val="3D9B21BA"/>
    <w:rsid w:val="3EE83FF7"/>
    <w:rsid w:val="3F40671A"/>
    <w:rsid w:val="3FEE08F8"/>
    <w:rsid w:val="40811190"/>
    <w:rsid w:val="43673D14"/>
    <w:rsid w:val="43E04937"/>
    <w:rsid w:val="44173ECB"/>
    <w:rsid w:val="44421984"/>
    <w:rsid w:val="44A44BC4"/>
    <w:rsid w:val="44AD2E0D"/>
    <w:rsid w:val="46C035F8"/>
    <w:rsid w:val="4887486B"/>
    <w:rsid w:val="4D7D7DB9"/>
    <w:rsid w:val="4F6F4F2D"/>
    <w:rsid w:val="51BE544C"/>
    <w:rsid w:val="526E1E56"/>
    <w:rsid w:val="5338480E"/>
    <w:rsid w:val="562166FF"/>
    <w:rsid w:val="56E90240"/>
    <w:rsid w:val="57A23368"/>
    <w:rsid w:val="57EF7F46"/>
    <w:rsid w:val="58815E06"/>
    <w:rsid w:val="5EC47139"/>
    <w:rsid w:val="659F2553"/>
    <w:rsid w:val="66EF4E57"/>
    <w:rsid w:val="67A4342A"/>
    <w:rsid w:val="6A215794"/>
    <w:rsid w:val="6AAB5A90"/>
    <w:rsid w:val="6C160F2C"/>
    <w:rsid w:val="6D485437"/>
    <w:rsid w:val="6E995A95"/>
    <w:rsid w:val="6FA44DF9"/>
    <w:rsid w:val="7229607F"/>
    <w:rsid w:val="73D25D6E"/>
    <w:rsid w:val="740B40E6"/>
    <w:rsid w:val="75187F78"/>
    <w:rsid w:val="754E378A"/>
    <w:rsid w:val="75D7090C"/>
    <w:rsid w:val="77260526"/>
    <w:rsid w:val="77B72634"/>
    <w:rsid w:val="77F40DE4"/>
    <w:rsid w:val="7AF721A5"/>
    <w:rsid w:val="7BBC67DB"/>
    <w:rsid w:val="7CDC7A49"/>
    <w:rsid w:val="7DD37E5E"/>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annotation text"/>
    <w:basedOn w:val="1"/>
    <w:link w:val="25"/>
    <w:semiHidden/>
    <w:unhideWhenUsed/>
    <w:uiPriority w:val="0"/>
    <w:pPr>
      <w:jc w:val="left"/>
    </w:pPr>
  </w:style>
  <w:style w:type="paragraph" w:styleId="6">
    <w:name w:val="Balloon Text"/>
    <w:basedOn w:val="1"/>
    <w:link w:val="23"/>
    <w:uiPriority w:val="0"/>
    <w:rPr>
      <w:rFonts w:ascii="Segoe UI" w:hAnsi="Segoe UI" w:cs="Segoe UI"/>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5"/>
    <w:next w:val="5"/>
    <w:link w:val="26"/>
    <w:semiHidden/>
    <w:unhideWhenUsed/>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800080"/>
      <w:u w:val="none"/>
    </w:rPr>
  </w:style>
  <w:style w:type="character" w:styleId="17">
    <w:name w:val="Hyperlink"/>
    <w:basedOn w:val="13"/>
    <w:qFormat/>
    <w:uiPriority w:val="0"/>
    <w:rPr>
      <w:color w:val="0000FF"/>
      <w:u w:val="none"/>
    </w:rPr>
  </w:style>
  <w:style w:type="character" w:styleId="18">
    <w:name w:val="annotation reference"/>
    <w:basedOn w:val="13"/>
    <w:semiHidden/>
    <w:unhideWhenUsed/>
    <w:uiPriority w:val="0"/>
    <w:rPr>
      <w:sz w:val="21"/>
      <w:szCs w:val="21"/>
    </w:rPr>
  </w:style>
  <w:style w:type="character" w:customStyle="1" w:styleId="19">
    <w:name w:val="hover21"/>
    <w:basedOn w:val="13"/>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 w:type="character" w:customStyle="1" w:styleId="23">
    <w:name w:val="批注框文本 字符"/>
    <w:basedOn w:val="13"/>
    <w:link w:val="6"/>
    <w:uiPriority w:val="0"/>
    <w:rPr>
      <w:rFonts w:ascii="Segoe UI" w:hAnsi="Segoe UI" w:eastAsia="方正仿宋简体" w:cs="Segoe UI"/>
      <w:kern w:val="2"/>
      <w:sz w:val="18"/>
      <w:szCs w:val="18"/>
    </w:rPr>
  </w:style>
  <w:style w:type="paragraph" w:customStyle="1" w:styleId="24">
    <w:name w:val="Revision"/>
    <w:hidden/>
    <w:unhideWhenUsed/>
    <w:uiPriority w:val="99"/>
    <w:rPr>
      <w:rFonts w:eastAsia="方正仿宋简体" w:asciiTheme="minorHAnsi" w:hAnsiTheme="minorHAnsi" w:cstheme="minorBidi"/>
      <w:kern w:val="2"/>
      <w:sz w:val="32"/>
      <w:szCs w:val="24"/>
      <w:lang w:val="en-US" w:eastAsia="zh-CN" w:bidi="ar-SA"/>
    </w:rPr>
  </w:style>
  <w:style w:type="character" w:customStyle="1" w:styleId="25">
    <w:name w:val="批注文字 字符"/>
    <w:basedOn w:val="13"/>
    <w:link w:val="5"/>
    <w:semiHidden/>
    <w:uiPriority w:val="0"/>
    <w:rPr>
      <w:rFonts w:eastAsia="方正仿宋简体"/>
      <w:kern w:val="2"/>
      <w:sz w:val="32"/>
      <w:szCs w:val="24"/>
    </w:rPr>
  </w:style>
  <w:style w:type="character" w:customStyle="1" w:styleId="26">
    <w:name w:val="批注主题 字符"/>
    <w:basedOn w:val="25"/>
    <w:link w:val="10"/>
    <w:semiHidden/>
    <w:uiPriority w:val="0"/>
    <w:rPr>
      <w:rFonts w:eastAsia="方正仿宋简体"/>
      <w:b/>
      <w:bCs/>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1320</Words>
  <Characters>7524</Characters>
  <Lines>62</Lines>
  <Paragraphs>17</Paragraphs>
  <TotalTime>69</TotalTime>
  <ScaleCrop>false</ScaleCrop>
  <LinksUpToDate>false</LinksUpToDate>
  <CharactersWithSpaces>8827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2022-03-16T12:46:00Z</dcterms:created>
  <dc:creator>XWB</dc:creator>
  <cp:lastModifiedBy>DELL</cp:lastModifiedBy>
  <cp:lastPrinted>2020-11-20T03:24:00Z</cp:lastPrinted>
  <dcterms:modified xsi:type="dcterms:W3CDTF">2022-03-21T05:27:49Z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5639AAC1FE944F018B1BD690203F2289</vt:lpwstr>
  </property>
</Properties>
</file>