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sz w:val="30"/>
          <w:szCs w:val="30"/>
        </w:rPr>
      </w:pPr>
      <w:r>
        <w:rPr>
          <w:rFonts w:hint="eastAsia" w:ascii="宋体" w:hAnsi="宋体"/>
          <w:b/>
          <w:sz w:val="30"/>
          <w:szCs w:val="30"/>
        </w:rPr>
        <w:t>浙江工商大学会计学院研究生综合素质测评细则</w:t>
      </w:r>
    </w:p>
    <w:p>
      <w:pPr>
        <w:jc w:val="center"/>
        <w:rPr>
          <w:rFonts w:ascii="宋体"/>
          <w:b/>
          <w:sz w:val="30"/>
          <w:szCs w:val="30"/>
        </w:rPr>
      </w:pPr>
    </w:p>
    <w:p>
      <w:pPr>
        <w:pStyle w:val="12"/>
        <w:numPr>
          <w:ilvl w:val="0"/>
          <w:numId w:val="1"/>
        </w:numPr>
        <w:spacing w:line="360" w:lineRule="auto"/>
        <w:ind w:firstLineChars="0"/>
        <w:jc w:val="center"/>
        <w:rPr>
          <w:rFonts w:ascii="宋体"/>
          <w:b/>
          <w:sz w:val="24"/>
          <w:szCs w:val="24"/>
        </w:rPr>
      </w:pPr>
      <w:r>
        <w:rPr>
          <w:rFonts w:hint="eastAsia" w:ascii="宋体" w:hAnsi="宋体"/>
          <w:b/>
          <w:sz w:val="24"/>
          <w:szCs w:val="24"/>
        </w:rPr>
        <w:t>总则</w:t>
      </w:r>
    </w:p>
    <w:p>
      <w:pPr>
        <w:spacing w:line="360" w:lineRule="auto"/>
        <w:ind w:firstLine="482" w:firstLineChars="200"/>
        <w:rPr>
          <w:rFonts w:ascii="宋体"/>
          <w:sz w:val="24"/>
          <w:szCs w:val="24"/>
        </w:rPr>
      </w:pPr>
      <w:r>
        <w:rPr>
          <w:rFonts w:hint="eastAsia" w:ascii="宋体" w:hAnsi="宋体"/>
          <w:b/>
          <w:sz w:val="24"/>
          <w:szCs w:val="24"/>
        </w:rPr>
        <w:t>第一条</w:t>
      </w:r>
      <w:r>
        <w:rPr>
          <w:rFonts w:hint="eastAsia" w:ascii="宋体" w:hAnsi="宋体"/>
          <w:sz w:val="24"/>
          <w:szCs w:val="24"/>
        </w:rPr>
        <w:t>为激励研究生刻苦学习、奋发向上、不断进取，培养德、智、体、美等方面全面发展，提高研究生教育质量，根据《浙江工商大学研究生综合测评实施办法办法》（浙商大研〔</w:t>
      </w:r>
      <w:r>
        <w:rPr>
          <w:rFonts w:ascii="宋体" w:hAnsi="宋体"/>
          <w:sz w:val="24"/>
          <w:szCs w:val="24"/>
        </w:rPr>
        <w:t>201</w:t>
      </w:r>
      <w:r>
        <w:rPr>
          <w:rFonts w:hint="eastAsia" w:ascii="宋体" w:hAnsi="宋体"/>
          <w:sz w:val="24"/>
          <w:szCs w:val="24"/>
        </w:rPr>
        <w:t>8〕189号）的规定，结合我院实际情况，特制定本细则。</w:t>
      </w:r>
    </w:p>
    <w:p>
      <w:pPr>
        <w:spacing w:line="360" w:lineRule="auto"/>
        <w:ind w:firstLine="482" w:firstLineChars="200"/>
        <w:rPr>
          <w:rFonts w:ascii="Tahoma" w:hAnsi="Tahoma" w:cs="Tahoma"/>
          <w:kern w:val="0"/>
          <w:sz w:val="24"/>
        </w:rPr>
      </w:pPr>
      <w:r>
        <w:rPr>
          <w:rFonts w:hint="eastAsia" w:ascii="Tahoma" w:hAnsi="Tahoma" w:cs="Tahoma"/>
          <w:b/>
          <w:kern w:val="0"/>
          <w:sz w:val="24"/>
        </w:rPr>
        <w:t>第二条</w:t>
      </w:r>
      <w:r>
        <w:rPr>
          <w:rFonts w:hint="eastAsia" w:ascii="Tahoma" w:hAnsi="Tahoma" w:cs="Tahoma"/>
          <w:kern w:val="0"/>
          <w:sz w:val="24"/>
        </w:rPr>
        <w:t>本实施意见适用于我校具有中华人民共和国国籍、纳入全国研究生招生计划、全日制（全脱产培养）、非定向就业的普通在校博士和硕士研究生。</w:t>
      </w:r>
    </w:p>
    <w:p>
      <w:pPr>
        <w:spacing w:line="360" w:lineRule="auto"/>
        <w:ind w:firstLine="480" w:firstLineChars="200"/>
        <w:rPr>
          <w:rFonts w:ascii="宋体"/>
          <w:sz w:val="24"/>
          <w:szCs w:val="24"/>
        </w:rPr>
      </w:pPr>
    </w:p>
    <w:p>
      <w:pPr>
        <w:spacing w:line="360" w:lineRule="auto"/>
        <w:ind w:firstLine="480" w:firstLineChars="200"/>
        <w:rPr>
          <w:rFonts w:ascii="宋体"/>
          <w:sz w:val="24"/>
          <w:szCs w:val="24"/>
        </w:rPr>
      </w:pPr>
    </w:p>
    <w:p>
      <w:pPr>
        <w:pStyle w:val="12"/>
        <w:numPr>
          <w:ilvl w:val="0"/>
          <w:numId w:val="1"/>
        </w:numPr>
        <w:spacing w:line="360" w:lineRule="auto"/>
        <w:ind w:firstLineChars="0"/>
        <w:jc w:val="center"/>
        <w:rPr>
          <w:rFonts w:ascii="宋体"/>
          <w:b/>
          <w:sz w:val="24"/>
          <w:szCs w:val="24"/>
        </w:rPr>
      </w:pPr>
      <w:r>
        <w:rPr>
          <w:rFonts w:hint="eastAsia" w:ascii="宋体" w:hAnsi="宋体"/>
          <w:b/>
          <w:sz w:val="24"/>
          <w:szCs w:val="24"/>
        </w:rPr>
        <w:t>综合测评的实施</w:t>
      </w:r>
    </w:p>
    <w:p>
      <w:pPr>
        <w:pStyle w:val="12"/>
        <w:spacing w:line="360" w:lineRule="auto"/>
        <w:ind w:firstLine="482"/>
        <w:rPr>
          <w:rFonts w:ascii="宋体"/>
          <w:sz w:val="24"/>
          <w:szCs w:val="24"/>
        </w:rPr>
      </w:pPr>
      <w:r>
        <w:rPr>
          <w:rFonts w:hint="eastAsia" w:ascii="宋体" w:hAnsi="宋体"/>
          <w:b/>
          <w:sz w:val="24"/>
          <w:szCs w:val="24"/>
        </w:rPr>
        <w:t>第三条</w:t>
      </w:r>
      <w:r>
        <w:rPr>
          <w:rFonts w:hint="eastAsia" w:ascii="宋体" w:hAnsi="宋体"/>
          <w:sz w:val="24"/>
          <w:szCs w:val="24"/>
        </w:rPr>
        <w:t>综合测评由校党委研究生工作部与学院党委负责指导，学院学生工作办公室具体实施。学生素质评价应坚持公开、公正、透明原则。综合素质测评结果应予以公示，公示无异议后素质测评结果上报校党委研究生工作部。</w:t>
      </w:r>
    </w:p>
    <w:p>
      <w:pPr>
        <w:pStyle w:val="6"/>
        <w:spacing w:before="0" w:beforeAutospacing="0" w:after="0" w:afterAutospacing="0" w:line="360" w:lineRule="auto"/>
        <w:ind w:firstLine="480" w:firstLineChars="200"/>
      </w:pPr>
      <w:r>
        <w:rPr>
          <w:rFonts w:hint="eastAsia"/>
        </w:rPr>
        <w:t>（一）学院成立由学院分管研究生工作的党委副书记、主管研究生教学工作的副院长、研究生辅导员、研究生教学秘书、导师代表、研究生代表等人组成的研究生综合测评领导小组。</w:t>
      </w:r>
    </w:p>
    <w:p>
      <w:pPr>
        <w:pStyle w:val="6"/>
        <w:spacing w:before="0" w:beforeAutospacing="0" w:after="0" w:afterAutospacing="0" w:line="360" w:lineRule="auto"/>
        <w:ind w:firstLine="480" w:firstLineChars="200"/>
      </w:pPr>
      <w:r>
        <w:rPr>
          <w:rFonts w:hint="eastAsia"/>
        </w:rPr>
        <w:t>（二）以班级（或年级）为单位成立研究生综合测评工作小组，研究生综合测评工作小组由研究生辅导员、党团支部、班级主要学生干部以及研究生代表等组成。</w:t>
      </w:r>
    </w:p>
    <w:p>
      <w:pPr>
        <w:pStyle w:val="6"/>
        <w:spacing w:before="0" w:beforeAutospacing="0" w:after="0" w:afterAutospacing="0" w:line="360" w:lineRule="auto"/>
        <w:ind w:firstLine="480" w:firstLineChars="200"/>
      </w:pPr>
      <w:r>
        <w:rPr>
          <w:rFonts w:hint="eastAsia"/>
        </w:rPr>
        <w:t>（三）研究生以班级或年级为单位组织学生学习有关测评文件，进行个人总结、提交申报材料、开展自我评价以及班级（或年级）初审等。</w:t>
      </w:r>
    </w:p>
    <w:p>
      <w:pPr>
        <w:pStyle w:val="12"/>
        <w:spacing w:line="360" w:lineRule="auto"/>
        <w:ind w:firstLine="482"/>
        <w:rPr>
          <w:rFonts w:ascii="宋体"/>
          <w:sz w:val="24"/>
          <w:szCs w:val="24"/>
        </w:rPr>
      </w:pPr>
      <w:r>
        <w:rPr>
          <w:rFonts w:hint="eastAsia" w:ascii="宋体" w:hAnsi="宋体"/>
          <w:b/>
          <w:sz w:val="24"/>
          <w:szCs w:val="24"/>
        </w:rPr>
        <w:t>第四条</w:t>
      </w:r>
      <w:r>
        <w:rPr>
          <w:rFonts w:hint="eastAsia" w:ascii="宋体" w:hAnsi="宋体"/>
          <w:sz w:val="24"/>
          <w:szCs w:val="24"/>
        </w:rPr>
        <w:t>综合测评每学年进行一次，测评在每学年开学后的一个月内进行。参加测评的人员为全体全日制二、三年级研究生。</w:t>
      </w:r>
    </w:p>
    <w:p>
      <w:pPr>
        <w:pStyle w:val="12"/>
        <w:spacing w:line="360" w:lineRule="auto"/>
        <w:ind w:firstLine="482"/>
        <w:rPr>
          <w:rFonts w:ascii="宋体"/>
          <w:sz w:val="24"/>
          <w:szCs w:val="24"/>
        </w:rPr>
      </w:pPr>
      <w:r>
        <w:rPr>
          <w:rFonts w:hint="eastAsia" w:ascii="宋体" w:hAnsi="宋体"/>
          <w:b/>
          <w:sz w:val="24"/>
          <w:szCs w:val="24"/>
        </w:rPr>
        <w:t>第五条</w:t>
      </w:r>
      <w:r>
        <w:rPr>
          <w:rFonts w:hint="eastAsia" w:ascii="宋体" w:hAnsi="宋体"/>
          <w:sz w:val="24"/>
          <w:szCs w:val="24"/>
        </w:rPr>
        <w:t>综合测评的结果与每位研究生在读期间获得的学业奖学金直接挂钩，在规定期限内不按照要求参加综合测评的研究生，其测评结果以“</w:t>
      </w:r>
      <w:r>
        <w:rPr>
          <w:rFonts w:ascii="宋体"/>
          <w:sz w:val="24"/>
          <w:szCs w:val="24"/>
        </w:rPr>
        <w:t>0</w:t>
      </w:r>
      <w:r>
        <w:rPr>
          <w:rFonts w:hint="eastAsia" w:ascii="宋体" w:hAnsi="宋体"/>
          <w:sz w:val="24"/>
          <w:szCs w:val="24"/>
        </w:rPr>
        <w:t>”分计算。</w:t>
      </w:r>
    </w:p>
    <w:p>
      <w:pPr>
        <w:pStyle w:val="6"/>
        <w:spacing w:before="0" w:beforeAutospacing="0" w:after="0" w:afterAutospacing="0" w:line="360" w:lineRule="auto"/>
        <w:ind w:firstLine="482" w:firstLineChars="200"/>
      </w:pPr>
      <w:r>
        <w:rPr>
          <w:rFonts w:hint="eastAsia"/>
          <w:b/>
        </w:rPr>
        <w:t>第六条</w:t>
      </w:r>
      <w:r>
        <w:rPr>
          <w:rFonts w:hint="eastAsia"/>
        </w:rPr>
        <w:t>研究生综合测评采取研究生申报、班级（或年级）初审、学院测评领导小组审定相结合的方式进行。</w:t>
      </w:r>
      <w:r>
        <w:t>  </w:t>
      </w:r>
    </w:p>
    <w:p>
      <w:pPr>
        <w:pStyle w:val="6"/>
        <w:spacing w:before="0" w:beforeAutospacing="0" w:after="0" w:afterAutospacing="0" w:line="360" w:lineRule="auto"/>
        <w:ind w:firstLine="480" w:firstLineChars="200"/>
      </w:pPr>
      <w:r>
        <w:t>(</w:t>
      </w:r>
      <w:r>
        <w:rPr>
          <w:rFonts w:hint="eastAsia"/>
        </w:rPr>
        <w:t>一</w:t>
      </w:r>
      <w:r>
        <w:t>)</w:t>
      </w:r>
      <w:r>
        <w:rPr>
          <w:rFonts w:hint="eastAsia"/>
        </w:rPr>
        <w:t>学生申报。每个研究生须按要求填写表格并提供相应的证明材料，实事求是地进行自我评价，并交测评工作小组初审。</w:t>
      </w:r>
    </w:p>
    <w:p>
      <w:pPr>
        <w:pStyle w:val="6"/>
        <w:spacing w:before="0" w:beforeAutospacing="0" w:after="0" w:afterAutospacing="0" w:line="360" w:lineRule="auto"/>
      </w:pPr>
      <w:r>
        <w:t>  (</w:t>
      </w:r>
      <w:r>
        <w:rPr>
          <w:rFonts w:hint="eastAsia"/>
        </w:rPr>
        <w:t>二</w:t>
      </w:r>
      <w:r>
        <w:t>)</w:t>
      </w:r>
      <w:r>
        <w:rPr>
          <w:rFonts w:hint="eastAsia"/>
        </w:rPr>
        <w:t>班级（或年级）初审。各班级（或年级）测评工作小组的任务是</w:t>
      </w:r>
      <w:r>
        <w:t>:</w:t>
      </w:r>
      <w:r>
        <w:rPr>
          <w:rFonts w:hint="eastAsia"/>
        </w:rPr>
        <w:t>负责审议、校准各项分数，修正出现的错漏。允许研究生在规定期限内提出质疑，若确有错漏，应予更正，初审结果应向研究生公布。</w:t>
      </w:r>
    </w:p>
    <w:p>
      <w:pPr>
        <w:pStyle w:val="6"/>
        <w:spacing w:before="0" w:beforeAutospacing="0" w:after="0" w:afterAutospacing="0" w:line="360" w:lineRule="auto"/>
      </w:pPr>
      <w:r>
        <w:t> (</w:t>
      </w:r>
      <w:r>
        <w:rPr>
          <w:rFonts w:hint="eastAsia"/>
        </w:rPr>
        <w:t>三</w:t>
      </w:r>
      <w:r>
        <w:t>)</w:t>
      </w:r>
      <w:r>
        <w:rPr>
          <w:rFonts w:hint="eastAsia"/>
        </w:rPr>
        <w:t>学院研究生辅导员在对班级（或年级）初审结果进行审核后，报学院研究生综合测评领导小组进行审定，学院综合测评领导小组在审定完毕后及时予以公示。</w:t>
      </w:r>
    </w:p>
    <w:p>
      <w:pPr>
        <w:pStyle w:val="12"/>
        <w:spacing w:line="360" w:lineRule="auto"/>
        <w:ind w:firstLine="480"/>
        <w:rPr>
          <w:rFonts w:ascii="宋体"/>
          <w:sz w:val="24"/>
          <w:szCs w:val="24"/>
        </w:rPr>
      </w:pPr>
    </w:p>
    <w:p>
      <w:pPr>
        <w:pStyle w:val="12"/>
        <w:spacing w:line="360" w:lineRule="auto"/>
        <w:ind w:firstLine="0" w:firstLineChars="0"/>
        <w:rPr>
          <w:rFonts w:ascii="宋体"/>
          <w:b/>
          <w:sz w:val="24"/>
          <w:szCs w:val="24"/>
        </w:rPr>
      </w:pPr>
    </w:p>
    <w:p>
      <w:pPr>
        <w:pStyle w:val="12"/>
        <w:numPr>
          <w:ilvl w:val="0"/>
          <w:numId w:val="1"/>
        </w:numPr>
        <w:spacing w:line="360" w:lineRule="auto"/>
        <w:ind w:firstLineChars="0"/>
        <w:jc w:val="center"/>
        <w:rPr>
          <w:rFonts w:ascii="宋体"/>
          <w:b/>
          <w:sz w:val="24"/>
          <w:szCs w:val="24"/>
        </w:rPr>
      </w:pPr>
      <w:r>
        <w:rPr>
          <w:rFonts w:hint="eastAsia" w:ascii="宋体" w:hAnsi="宋体"/>
          <w:b/>
          <w:sz w:val="24"/>
          <w:szCs w:val="24"/>
        </w:rPr>
        <w:t>测评体系</w:t>
      </w:r>
    </w:p>
    <w:p>
      <w:pPr>
        <w:spacing w:line="360" w:lineRule="auto"/>
        <w:ind w:firstLine="472" w:firstLineChars="196"/>
        <w:rPr>
          <w:rFonts w:ascii="宋体"/>
          <w:sz w:val="24"/>
          <w:szCs w:val="24"/>
        </w:rPr>
      </w:pPr>
      <w:r>
        <w:rPr>
          <w:rFonts w:hint="eastAsia" w:ascii="宋体" w:hAnsi="宋体"/>
          <w:b/>
          <w:sz w:val="24"/>
          <w:szCs w:val="24"/>
        </w:rPr>
        <w:t>第七条</w:t>
      </w:r>
      <w:r>
        <w:rPr>
          <w:rFonts w:hint="eastAsia" w:ascii="宋体" w:hAnsi="宋体"/>
          <w:sz w:val="24"/>
          <w:szCs w:val="24"/>
        </w:rPr>
        <w:t>综合测评是对研究生个人在上一学年在德育、智育、素质拓展和创新活动中取得的成果进行量化考核与评定，综合测评指标体系含德育模块、</w:t>
      </w:r>
      <w:r>
        <w:rPr>
          <w:rFonts w:hint="eastAsia"/>
        </w:rPr>
        <w:t>课业模块</w:t>
      </w:r>
      <w:r>
        <w:rPr>
          <w:rFonts w:hint="eastAsia" w:ascii="宋体" w:hAnsi="宋体"/>
          <w:sz w:val="24"/>
          <w:szCs w:val="24"/>
        </w:rPr>
        <w:t>、素质拓展模块和创新模块，各模块</w:t>
      </w:r>
      <w:r>
        <w:rPr>
          <w:rFonts w:hint="eastAsia"/>
        </w:rPr>
        <w:t>根据研究生培养类型的不同</w:t>
      </w:r>
      <w:r>
        <w:rPr>
          <w:rFonts w:hint="eastAsia" w:ascii="宋体" w:hAnsi="宋体"/>
          <w:sz w:val="24"/>
          <w:szCs w:val="24"/>
        </w:rPr>
        <w:t>被赋予不同权重。</w:t>
      </w:r>
      <w:r>
        <w:rPr>
          <w:rFonts w:hint="eastAsia"/>
        </w:rPr>
        <w:t>具体见下表:</w:t>
      </w:r>
    </w:p>
    <w:p>
      <w:pPr>
        <w:spacing w:line="360" w:lineRule="auto"/>
        <w:ind w:firstLine="470" w:firstLineChars="196"/>
        <w:rPr>
          <w:rFonts w:ascii="宋体"/>
          <w:sz w:val="24"/>
          <w:szCs w:val="24"/>
        </w:rPr>
      </w:pPr>
    </w:p>
    <w:p>
      <w:pPr>
        <w:spacing w:line="360" w:lineRule="auto"/>
        <w:ind w:firstLine="3000" w:firstLineChars="1250"/>
      </w:pPr>
      <w:r>
        <w:rPr>
          <w:rFonts w:hint="eastAsia"/>
          <w:sz w:val="24"/>
        </w:rPr>
        <w:t>各类考核项目权重</w:t>
      </w:r>
      <w:r>
        <w:rPr>
          <w:sz w:val="24"/>
        </w:rPr>
        <w:t>(Wi)</w:t>
      </w:r>
      <w:r>
        <w:rPr>
          <w:rFonts w:hint="eastAsia"/>
          <w:sz w:val="24"/>
        </w:rPr>
        <w:t>表</w:t>
      </w:r>
      <w:r>
        <w:rPr>
          <w:rFonts w:hint="eastAsia"/>
        </w:rPr>
        <w:t>计量单位：</w:t>
      </w:r>
      <w:r>
        <w:t>%</w:t>
      </w:r>
    </w:p>
    <w:tbl>
      <w:tblPr>
        <w:tblStyle w:val="7"/>
        <w:tblpPr w:leftFromText="180" w:rightFromText="180" w:vertAnchor="text" w:horzAnchor="margin" w:tblpXSpec="center" w:tblpY="158"/>
        <w:tblW w:w="9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3"/>
        <w:gridCol w:w="1872"/>
        <w:gridCol w:w="1728"/>
        <w:gridCol w:w="1968"/>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413" w:type="dxa"/>
          </w:tcPr>
          <w:p>
            <w:pPr>
              <w:spacing w:line="360" w:lineRule="auto"/>
              <w:rPr>
                <w:sz w:val="24"/>
              </w:rPr>
            </w:pPr>
            <w: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16510</wp:posOffset>
                      </wp:positionV>
                      <wp:extent cx="1483995" cy="1433195"/>
                      <wp:effectExtent l="3175" t="3175" r="17780" b="11430"/>
                      <wp:wrapNone/>
                      <wp:docPr id="3" name="AutoShape 2"/>
                      <wp:cNvGraphicFramePr/>
                      <a:graphic xmlns:a="http://schemas.openxmlformats.org/drawingml/2006/main">
                        <a:graphicData uri="http://schemas.microsoft.com/office/word/2010/wordprocessingShape">
                          <wps:wsp>
                            <wps:cNvCnPr>
                              <a:cxnSpLocks noChangeShapeType="1"/>
                            </wps:cNvCnPr>
                            <wps:spPr bwMode="auto">
                              <a:xfrm>
                                <a:off x="0" y="0"/>
                                <a:ext cx="1483995" cy="1433195"/>
                              </a:xfrm>
                              <a:prstGeom prst="straightConnector1">
                                <a:avLst/>
                              </a:prstGeom>
                              <a:noFill/>
                              <a:ln w="9525">
                                <a:solidFill>
                                  <a:srgbClr val="000000"/>
                                </a:solidFill>
                                <a:round/>
                              </a:ln>
                              <a:effectLst/>
                            </wps:spPr>
                            <wps:bodyPr/>
                          </wps:wsp>
                        </a:graphicData>
                      </a:graphic>
                    </wp:anchor>
                  </w:drawing>
                </mc:Choice>
                <mc:Fallback>
                  <w:pict>
                    <v:shape id="AutoShape 2" o:spid="_x0000_s1026" o:spt="32" type="#_x0000_t32" style="position:absolute;left:0pt;margin-left:-4.3pt;margin-top:1.3pt;height:112.85pt;width:116.85pt;z-index:251659264;mso-width-relative:page;mso-height-relative:page;" filled="f" stroked="t" coordsize="21600,21600" o:gfxdata="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PsNaXXAAAACAEAAA8A&#10;AAAAAAAAAQAgAAAAIgAAAGRycy9kb3ducmV2LnhtbFBLAQIUABQAAAAIAIdO4kAa4phg3wEAAMYD&#10;AAAOAAAAAAAAAAEAIAAAACYBAABkcnMvZTJvRG9jLnhtbFBLBQYAAAAABgAGAFkBAAB3BQAAAAA=&#10;">
                      <v:fill on="f" focussize="0,0"/>
                      <v:stroke color="#000000" joinstyle="round"/>
                      <v:imagedata o:title=""/>
                      <o:lock v:ext="edit" aspectratio="f"/>
                    </v:shape>
                  </w:pict>
                </mc:Fallback>
              </mc:AlternateContent>
            </w:r>
          </w:p>
          <w:p>
            <w:pPr>
              <w:spacing w:line="360" w:lineRule="auto"/>
              <w:jc w:val="center"/>
              <w:rPr>
                <w:sz w:val="24"/>
              </w:rPr>
            </w:pPr>
            <w:r>
              <w:rPr>
                <w:rFonts w:hint="eastAsia" w:ascii="仿宋_GB2312"/>
                <w:szCs w:val="28"/>
              </w:rPr>
              <w:t>考核项目</w:t>
            </w:r>
          </w:p>
          <w:p>
            <w:pPr>
              <w:spacing w:line="360" w:lineRule="auto"/>
              <w:rPr>
                <w:sz w:val="24"/>
              </w:rPr>
            </w:pPr>
          </w:p>
          <w:p>
            <w:pPr>
              <w:spacing w:line="360" w:lineRule="auto"/>
              <w:rPr>
                <w:sz w:val="24"/>
              </w:rPr>
            </w:pPr>
          </w:p>
          <w:p>
            <w:pPr>
              <w:spacing w:line="360" w:lineRule="auto"/>
              <w:ind w:firstLine="315" w:firstLineChars="150"/>
              <w:rPr>
                <w:sz w:val="24"/>
              </w:rPr>
            </w:pPr>
            <w:r>
              <w:rPr>
                <w:rFonts w:hint="eastAsia" w:ascii="仿宋_GB2312"/>
                <w:szCs w:val="28"/>
              </w:rPr>
              <w:t>研究生类别</w:t>
            </w:r>
          </w:p>
        </w:tc>
        <w:tc>
          <w:tcPr>
            <w:tcW w:w="1872" w:type="dxa"/>
            <w:vAlign w:val="center"/>
          </w:tcPr>
          <w:p>
            <w:pPr>
              <w:spacing w:line="360" w:lineRule="auto"/>
              <w:jc w:val="center"/>
              <w:rPr>
                <w:sz w:val="24"/>
              </w:rPr>
            </w:pPr>
            <w:r>
              <w:rPr>
                <w:rFonts w:hint="eastAsia"/>
                <w:sz w:val="24"/>
              </w:rPr>
              <w:t>德育模块</w:t>
            </w:r>
          </w:p>
          <w:p>
            <w:pPr>
              <w:spacing w:line="360" w:lineRule="auto"/>
              <w:jc w:val="center"/>
              <w:rPr>
                <w:b/>
                <w:sz w:val="28"/>
                <w:szCs w:val="28"/>
              </w:rPr>
            </w:pPr>
            <w:r>
              <w:rPr>
                <w:sz w:val="24"/>
              </w:rPr>
              <w:t>S1</w:t>
            </w:r>
          </w:p>
        </w:tc>
        <w:tc>
          <w:tcPr>
            <w:tcW w:w="1728" w:type="dxa"/>
            <w:vAlign w:val="center"/>
          </w:tcPr>
          <w:p>
            <w:pPr>
              <w:spacing w:line="360" w:lineRule="auto"/>
              <w:jc w:val="center"/>
            </w:pPr>
            <w:r>
              <w:rPr>
                <w:rFonts w:hint="eastAsia"/>
              </w:rPr>
              <w:t>课业模块</w:t>
            </w:r>
          </w:p>
          <w:p>
            <w:pPr>
              <w:spacing w:line="360" w:lineRule="auto"/>
              <w:jc w:val="center"/>
              <w:rPr>
                <w:sz w:val="24"/>
              </w:rPr>
            </w:pPr>
            <w:r>
              <w:rPr>
                <w:sz w:val="24"/>
              </w:rPr>
              <w:t>S2</w:t>
            </w:r>
          </w:p>
        </w:tc>
        <w:tc>
          <w:tcPr>
            <w:tcW w:w="1968" w:type="dxa"/>
            <w:vAlign w:val="center"/>
          </w:tcPr>
          <w:p>
            <w:pPr>
              <w:spacing w:line="360" w:lineRule="auto"/>
              <w:jc w:val="center"/>
              <w:rPr>
                <w:sz w:val="24"/>
              </w:rPr>
            </w:pPr>
            <w:r>
              <w:rPr>
                <w:rFonts w:hint="eastAsia"/>
                <w:sz w:val="24"/>
              </w:rPr>
              <w:t>素质拓展模块</w:t>
            </w:r>
          </w:p>
          <w:p>
            <w:pPr>
              <w:spacing w:line="360" w:lineRule="auto"/>
              <w:jc w:val="center"/>
              <w:rPr>
                <w:sz w:val="24"/>
              </w:rPr>
            </w:pPr>
            <w:r>
              <w:rPr>
                <w:sz w:val="24"/>
              </w:rPr>
              <w:t>S3</w:t>
            </w:r>
          </w:p>
        </w:tc>
        <w:tc>
          <w:tcPr>
            <w:tcW w:w="1632" w:type="dxa"/>
            <w:vAlign w:val="center"/>
          </w:tcPr>
          <w:p>
            <w:pPr>
              <w:spacing w:line="360" w:lineRule="auto"/>
              <w:ind w:firstLine="360" w:firstLineChars="150"/>
              <w:jc w:val="center"/>
              <w:rPr>
                <w:sz w:val="24"/>
              </w:rPr>
            </w:pPr>
            <w:r>
              <w:rPr>
                <w:rFonts w:hint="eastAsia"/>
                <w:sz w:val="24"/>
              </w:rPr>
              <w:t>创新模块</w:t>
            </w:r>
          </w:p>
          <w:p>
            <w:pPr>
              <w:spacing w:line="360" w:lineRule="auto"/>
              <w:ind w:firstLine="422" w:firstLineChars="150"/>
              <w:jc w:val="center"/>
              <w:rPr>
                <w:szCs w:val="21"/>
              </w:rPr>
            </w:pPr>
            <w:r>
              <w:rPr>
                <w:rFonts w:ascii="仿宋_GB2312" w:hAnsi="宋体"/>
                <w:b/>
                <w:sz w:val="28"/>
                <w:szCs w:val="28"/>
              </w:rPr>
              <w:t>S</w:t>
            </w:r>
            <w:r>
              <w:rPr>
                <w:rFonts w:ascii="仿宋_GB2312" w:hAnsi="宋体"/>
                <w:b/>
                <w:sz w:val="28"/>
                <w:szCs w:val="28"/>
                <w:vertAlign w:val="sub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2413" w:type="dxa"/>
            <w:vAlign w:val="center"/>
          </w:tcPr>
          <w:p>
            <w:pPr>
              <w:widowControl/>
              <w:spacing w:line="360" w:lineRule="auto"/>
              <w:jc w:val="center"/>
              <w:rPr>
                <w:rFonts w:ascii="仿宋_GB2312"/>
                <w:szCs w:val="28"/>
              </w:rPr>
            </w:pPr>
            <w:r>
              <w:rPr>
                <w:rFonts w:hint="eastAsia" w:ascii="仿宋_GB2312"/>
                <w:szCs w:val="28"/>
              </w:rPr>
              <w:t>学术学位研究生</w:t>
            </w:r>
          </w:p>
        </w:tc>
        <w:tc>
          <w:tcPr>
            <w:tcW w:w="1872" w:type="dxa"/>
            <w:vAlign w:val="center"/>
          </w:tcPr>
          <w:p>
            <w:pPr>
              <w:spacing w:line="360" w:lineRule="auto"/>
              <w:jc w:val="center"/>
              <w:rPr>
                <w:sz w:val="28"/>
                <w:szCs w:val="28"/>
              </w:rPr>
            </w:pPr>
            <w:r>
              <w:rPr>
                <w:sz w:val="28"/>
                <w:szCs w:val="28"/>
              </w:rPr>
              <w:t>25</w:t>
            </w:r>
          </w:p>
        </w:tc>
        <w:tc>
          <w:tcPr>
            <w:tcW w:w="1728" w:type="dxa"/>
            <w:vAlign w:val="center"/>
          </w:tcPr>
          <w:p>
            <w:pPr>
              <w:spacing w:line="360" w:lineRule="auto"/>
              <w:jc w:val="center"/>
            </w:pPr>
            <w:r>
              <w:rPr>
                <w:sz w:val="28"/>
                <w:szCs w:val="28"/>
              </w:rPr>
              <w:t>45</w:t>
            </w:r>
          </w:p>
        </w:tc>
        <w:tc>
          <w:tcPr>
            <w:tcW w:w="1968" w:type="dxa"/>
            <w:vAlign w:val="center"/>
          </w:tcPr>
          <w:p>
            <w:pPr>
              <w:spacing w:line="360" w:lineRule="auto"/>
              <w:jc w:val="center"/>
            </w:pPr>
            <w:r>
              <w:rPr>
                <w:sz w:val="28"/>
                <w:szCs w:val="28"/>
              </w:rPr>
              <w:t>30</w:t>
            </w:r>
          </w:p>
        </w:tc>
        <w:tc>
          <w:tcPr>
            <w:tcW w:w="1632" w:type="dxa"/>
            <w:vMerge w:val="restart"/>
            <w:vAlign w:val="center"/>
          </w:tcPr>
          <w:p>
            <w:pPr>
              <w:spacing w:line="360" w:lineRule="auto"/>
              <w:jc w:val="center"/>
            </w:pPr>
            <w:r>
              <w:rPr>
                <w:rFonts w:hint="eastAsia"/>
              </w:rPr>
              <w:t>不设权重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413" w:type="dxa"/>
            <w:vAlign w:val="center"/>
          </w:tcPr>
          <w:p>
            <w:pPr>
              <w:widowControl/>
              <w:spacing w:line="360" w:lineRule="auto"/>
              <w:jc w:val="center"/>
              <w:rPr>
                <w:rFonts w:ascii="仿宋_GB2312"/>
                <w:szCs w:val="28"/>
              </w:rPr>
            </w:pPr>
            <w:r>
              <w:rPr>
                <w:rFonts w:hint="eastAsia" w:ascii="仿宋_GB2312"/>
                <w:szCs w:val="28"/>
              </w:rPr>
              <w:t>专业学位研究生</w:t>
            </w:r>
          </w:p>
        </w:tc>
        <w:tc>
          <w:tcPr>
            <w:tcW w:w="1872" w:type="dxa"/>
            <w:vAlign w:val="center"/>
          </w:tcPr>
          <w:p>
            <w:pPr>
              <w:spacing w:line="360" w:lineRule="auto"/>
              <w:jc w:val="center"/>
            </w:pPr>
            <w:r>
              <w:rPr>
                <w:sz w:val="28"/>
                <w:szCs w:val="28"/>
              </w:rPr>
              <w:t>25</w:t>
            </w:r>
          </w:p>
        </w:tc>
        <w:tc>
          <w:tcPr>
            <w:tcW w:w="1728" w:type="dxa"/>
            <w:vAlign w:val="center"/>
          </w:tcPr>
          <w:p>
            <w:pPr>
              <w:spacing w:line="360" w:lineRule="auto"/>
              <w:jc w:val="center"/>
            </w:pPr>
            <w:r>
              <w:rPr>
                <w:sz w:val="28"/>
                <w:szCs w:val="28"/>
              </w:rPr>
              <w:t>40</w:t>
            </w:r>
          </w:p>
        </w:tc>
        <w:tc>
          <w:tcPr>
            <w:tcW w:w="1968" w:type="dxa"/>
            <w:vAlign w:val="center"/>
          </w:tcPr>
          <w:p>
            <w:pPr>
              <w:spacing w:line="360" w:lineRule="auto"/>
              <w:jc w:val="center"/>
            </w:pPr>
            <w:r>
              <w:rPr>
                <w:sz w:val="28"/>
                <w:szCs w:val="28"/>
              </w:rPr>
              <w:t>35</w:t>
            </w:r>
          </w:p>
        </w:tc>
        <w:tc>
          <w:tcPr>
            <w:tcW w:w="1632" w:type="dxa"/>
            <w:vMerge w:val="continue"/>
            <w:vAlign w:val="center"/>
          </w:tcPr>
          <w:p>
            <w:pPr>
              <w:spacing w:line="360" w:lineRule="auto"/>
              <w:jc w:val="center"/>
            </w:pPr>
          </w:p>
        </w:tc>
      </w:tr>
    </w:tbl>
    <w:p>
      <w:pPr>
        <w:adjustRightInd w:val="0"/>
        <w:snapToGrid w:val="0"/>
        <w:spacing w:line="360" w:lineRule="auto"/>
        <w:ind w:firstLine="560" w:firstLineChars="200"/>
        <w:rPr>
          <w:rFonts w:ascii="仿宋_GB2312"/>
          <w:kern w:val="0"/>
          <w:sz w:val="28"/>
          <w:szCs w:val="28"/>
        </w:rPr>
      </w:pPr>
      <w:r>
        <w:rPr>
          <w:rFonts w:hint="eastAsia" w:ascii="仿宋_GB2312"/>
          <w:kern w:val="0"/>
          <w:sz w:val="28"/>
          <w:szCs w:val="28"/>
        </w:rPr>
        <w:t>总分</w:t>
      </w:r>
      <w:r>
        <w:rPr>
          <w:rFonts w:ascii="仿宋_GB2312"/>
          <w:kern w:val="0"/>
          <w:sz w:val="28"/>
          <w:szCs w:val="28"/>
        </w:rPr>
        <w:t>S=W1</w:t>
      </w:r>
      <w:r>
        <w:rPr>
          <w:rFonts w:hint="eastAsia" w:ascii="仿宋_GB2312"/>
          <w:kern w:val="0"/>
          <w:sz w:val="28"/>
          <w:szCs w:val="28"/>
        </w:rPr>
        <w:t>×</w:t>
      </w:r>
      <w:r>
        <w:rPr>
          <w:rFonts w:ascii="仿宋_GB2312" w:hAnsi="宋体"/>
          <w:sz w:val="28"/>
          <w:szCs w:val="28"/>
        </w:rPr>
        <w:t>S</w:t>
      </w:r>
      <w:r>
        <w:rPr>
          <w:rFonts w:ascii="仿宋_GB2312" w:hAnsi="宋体"/>
          <w:sz w:val="28"/>
          <w:szCs w:val="28"/>
          <w:vertAlign w:val="subscript"/>
        </w:rPr>
        <w:t>1</w:t>
      </w:r>
      <w:r>
        <w:rPr>
          <w:rFonts w:ascii="仿宋_GB2312"/>
          <w:kern w:val="0"/>
          <w:sz w:val="28"/>
          <w:szCs w:val="28"/>
        </w:rPr>
        <w:t>+ W2</w:t>
      </w:r>
      <w:r>
        <w:rPr>
          <w:rFonts w:hint="eastAsia" w:ascii="仿宋_GB2312"/>
          <w:kern w:val="0"/>
          <w:sz w:val="28"/>
          <w:szCs w:val="28"/>
        </w:rPr>
        <w:t>×</w:t>
      </w:r>
      <w:r>
        <w:rPr>
          <w:rFonts w:ascii="仿宋_GB2312" w:hAnsi="宋体"/>
          <w:sz w:val="28"/>
          <w:szCs w:val="28"/>
        </w:rPr>
        <w:t>S</w:t>
      </w:r>
      <w:r>
        <w:rPr>
          <w:rFonts w:ascii="仿宋_GB2312" w:hAnsi="宋体"/>
          <w:sz w:val="28"/>
          <w:szCs w:val="28"/>
          <w:vertAlign w:val="subscript"/>
        </w:rPr>
        <w:t>2</w:t>
      </w:r>
      <w:r>
        <w:rPr>
          <w:rFonts w:ascii="仿宋_GB2312"/>
          <w:kern w:val="0"/>
          <w:sz w:val="28"/>
          <w:szCs w:val="28"/>
        </w:rPr>
        <w:t>+ W3</w:t>
      </w:r>
      <w:r>
        <w:rPr>
          <w:rFonts w:hint="eastAsia" w:ascii="仿宋_GB2312"/>
          <w:kern w:val="0"/>
          <w:sz w:val="28"/>
          <w:szCs w:val="28"/>
        </w:rPr>
        <w:t>×</w:t>
      </w:r>
      <w:r>
        <w:rPr>
          <w:rFonts w:ascii="仿宋_GB2312" w:hAnsi="宋体"/>
          <w:sz w:val="28"/>
          <w:szCs w:val="28"/>
        </w:rPr>
        <w:t>S</w:t>
      </w:r>
      <w:r>
        <w:rPr>
          <w:rFonts w:ascii="仿宋_GB2312" w:hAnsi="宋体"/>
          <w:b/>
          <w:sz w:val="28"/>
          <w:szCs w:val="28"/>
          <w:vertAlign w:val="subscript"/>
        </w:rPr>
        <w:t>3</w:t>
      </w:r>
      <w:r>
        <w:rPr>
          <w:rFonts w:ascii="仿宋_GB2312"/>
          <w:kern w:val="0"/>
          <w:sz w:val="28"/>
          <w:szCs w:val="28"/>
        </w:rPr>
        <w:t>+</w:t>
      </w:r>
      <w:r>
        <w:rPr>
          <w:rFonts w:ascii="仿宋_GB2312" w:hAnsi="宋体"/>
          <w:b/>
          <w:sz w:val="28"/>
          <w:szCs w:val="28"/>
        </w:rPr>
        <w:t>S</w:t>
      </w:r>
      <w:r>
        <w:rPr>
          <w:rFonts w:ascii="仿宋_GB2312" w:hAnsi="宋体"/>
          <w:b/>
          <w:sz w:val="28"/>
          <w:szCs w:val="28"/>
          <w:vertAlign w:val="subscript"/>
        </w:rPr>
        <w:t>4</w:t>
      </w:r>
    </w:p>
    <w:p>
      <w:pPr>
        <w:spacing w:line="360" w:lineRule="auto"/>
        <w:ind w:firstLine="465"/>
        <w:rPr>
          <w:rFonts w:ascii="宋体"/>
          <w:sz w:val="24"/>
          <w:szCs w:val="24"/>
        </w:rPr>
      </w:pPr>
    </w:p>
    <w:p>
      <w:pPr>
        <w:pStyle w:val="12"/>
        <w:numPr>
          <w:ilvl w:val="0"/>
          <w:numId w:val="1"/>
        </w:numPr>
        <w:spacing w:line="360" w:lineRule="auto"/>
        <w:ind w:firstLineChars="0"/>
        <w:jc w:val="center"/>
        <w:rPr>
          <w:rFonts w:ascii="宋体"/>
          <w:b/>
          <w:sz w:val="24"/>
          <w:szCs w:val="24"/>
        </w:rPr>
      </w:pPr>
      <w:r>
        <w:rPr>
          <w:rFonts w:hint="eastAsia" w:ascii="宋体" w:hAnsi="宋体"/>
          <w:b/>
          <w:sz w:val="24"/>
          <w:szCs w:val="24"/>
        </w:rPr>
        <w:t>德育模块</w:t>
      </w:r>
    </w:p>
    <w:p>
      <w:pPr>
        <w:pStyle w:val="12"/>
        <w:spacing w:line="360" w:lineRule="auto"/>
        <w:ind w:left="945" w:firstLine="0" w:firstLineChars="0"/>
        <w:jc w:val="center"/>
        <w:rPr>
          <w:rFonts w:ascii="宋体"/>
          <w:b/>
          <w:sz w:val="24"/>
          <w:szCs w:val="24"/>
        </w:rPr>
      </w:pPr>
    </w:p>
    <w:p>
      <w:pPr>
        <w:pStyle w:val="6"/>
        <w:spacing w:before="0" w:beforeAutospacing="0" w:after="0" w:afterAutospacing="0" w:line="440" w:lineRule="exact"/>
        <w:ind w:firstLine="482" w:firstLineChars="200"/>
        <w:rPr>
          <w:rFonts w:ascii="Tahoma" w:hAnsi="Tahoma" w:cs="Tahoma"/>
        </w:rPr>
      </w:pPr>
      <w:r>
        <w:rPr>
          <w:rFonts w:hint="eastAsia"/>
          <w:b/>
        </w:rPr>
        <w:t xml:space="preserve">第八条  </w:t>
      </w:r>
      <w:r>
        <w:rPr>
          <w:rFonts w:hint="eastAsia" w:ascii="Tahoma" w:hAnsi="Tahoma" w:cs="Tahoma"/>
        </w:rPr>
        <w:t>德育模块主要考察研究生在践行社会主义核心价值观方面的情况，由评议成绩和记实考核两部分组成，即德育模块分数S1=评议成绩+记实成绩，其中评议成绩满分60分，记实考核满分40分。</w:t>
      </w:r>
    </w:p>
    <w:p>
      <w:pPr>
        <w:pStyle w:val="6"/>
        <w:spacing w:before="0" w:beforeAutospacing="0" w:after="0" w:afterAutospacing="0" w:line="440" w:lineRule="exact"/>
        <w:ind w:firstLine="480" w:firstLineChars="200"/>
        <w:rPr>
          <w:rFonts w:ascii="Tahoma" w:hAnsi="Tahoma" w:cs="Tahoma"/>
        </w:rPr>
      </w:pPr>
      <w:r>
        <w:rPr>
          <w:rFonts w:hint="eastAsia" w:ascii="Tahoma" w:hAnsi="Tahoma" w:cs="Tahoma"/>
        </w:rPr>
        <w:t>（一）评议内容和评议方法：</w:t>
      </w:r>
    </w:p>
    <w:p>
      <w:pPr>
        <w:pStyle w:val="6"/>
        <w:spacing w:before="0" w:beforeAutospacing="0" w:after="0" w:afterAutospacing="0" w:line="440" w:lineRule="exact"/>
        <w:ind w:firstLine="480" w:firstLineChars="200"/>
        <w:rPr>
          <w:rFonts w:ascii="Tahoma" w:hAnsi="Tahoma" w:cs="Tahoma"/>
        </w:rPr>
      </w:pPr>
      <w:r>
        <w:rPr>
          <w:rFonts w:hint="eastAsia" w:ascii="Tahoma" w:hAnsi="Tahoma" w:cs="Tahoma"/>
        </w:rPr>
        <w:t>1．评议内容为政治素养、法制观念、诚实守信和团队协作。</w:t>
      </w:r>
    </w:p>
    <w:p>
      <w:pPr>
        <w:autoSpaceDE w:val="0"/>
        <w:autoSpaceDN w:val="0"/>
        <w:adjustRightInd w:val="0"/>
        <w:spacing w:line="440" w:lineRule="exact"/>
        <w:ind w:firstLine="480" w:firstLineChars="200"/>
        <w:jc w:val="left"/>
        <w:rPr>
          <w:rFonts w:ascii="宋体" w:hAnsi="宋体" w:cs="仿宋_GB2312+FPEF"/>
          <w:kern w:val="0"/>
          <w:sz w:val="24"/>
        </w:rPr>
      </w:pPr>
      <w:r>
        <w:rPr>
          <w:rFonts w:hint="eastAsia" w:ascii="宋体" w:hAnsi="宋体" w:cs="仿宋_GB2312+FPEF"/>
          <w:kern w:val="0"/>
          <w:sz w:val="24"/>
        </w:rPr>
        <w:t>政治素养：坚持四项基本原则，拥护党的政策，思想积极向上，主动参加校、院组织的各项政治活动；</w:t>
      </w:r>
    </w:p>
    <w:p>
      <w:pPr>
        <w:autoSpaceDE w:val="0"/>
        <w:autoSpaceDN w:val="0"/>
        <w:adjustRightInd w:val="0"/>
        <w:spacing w:line="440" w:lineRule="exact"/>
        <w:ind w:firstLine="480" w:firstLineChars="200"/>
        <w:jc w:val="left"/>
        <w:rPr>
          <w:rFonts w:ascii="宋体" w:hAnsi="宋体" w:cs="仿宋_GB2312+FPEF"/>
          <w:kern w:val="0"/>
          <w:sz w:val="24"/>
        </w:rPr>
      </w:pPr>
      <w:r>
        <w:rPr>
          <w:rFonts w:hint="eastAsia" w:ascii="宋体" w:hAnsi="宋体" w:cs="仿宋_GB2312+FPEF"/>
          <w:kern w:val="0"/>
          <w:sz w:val="24"/>
        </w:rPr>
        <w:t>法制观念：具有法制意识，爱护校园环境，自觉遵守国家法律法规和学校的各项规章制度；</w:t>
      </w:r>
    </w:p>
    <w:p>
      <w:pPr>
        <w:autoSpaceDE w:val="0"/>
        <w:autoSpaceDN w:val="0"/>
        <w:adjustRightInd w:val="0"/>
        <w:spacing w:line="440" w:lineRule="exact"/>
        <w:ind w:firstLine="480" w:firstLineChars="200"/>
        <w:jc w:val="left"/>
        <w:rPr>
          <w:rFonts w:ascii="宋体" w:hAnsi="宋体" w:cs="仿宋_GB2312+FPEF"/>
          <w:kern w:val="0"/>
          <w:sz w:val="24"/>
        </w:rPr>
      </w:pPr>
      <w:r>
        <w:rPr>
          <w:rFonts w:hint="eastAsia" w:ascii="宋体" w:hAnsi="宋体" w:cs="仿宋_GB2312+FPEF"/>
          <w:kern w:val="0"/>
          <w:sz w:val="24"/>
        </w:rPr>
        <w:t>诚实守信：为人真诚，待人友善，品行正直，诺守诚信，遵守学术道德与学术规范；</w:t>
      </w:r>
    </w:p>
    <w:p>
      <w:pPr>
        <w:autoSpaceDE w:val="0"/>
        <w:autoSpaceDN w:val="0"/>
        <w:adjustRightInd w:val="0"/>
        <w:spacing w:line="440" w:lineRule="exact"/>
        <w:ind w:firstLine="480" w:firstLineChars="200"/>
        <w:jc w:val="left"/>
        <w:rPr>
          <w:rFonts w:ascii="宋体" w:hAnsi="宋体" w:cs="仿宋_GB2312+FPEF"/>
          <w:kern w:val="0"/>
          <w:sz w:val="24"/>
        </w:rPr>
      </w:pPr>
      <w:r>
        <w:rPr>
          <w:rFonts w:hint="eastAsia" w:ascii="宋体" w:hAnsi="宋体" w:cs="仿宋_GB2312+FPEF"/>
          <w:kern w:val="0"/>
          <w:sz w:val="24"/>
        </w:rPr>
        <w:t>团队协作：关心班集体，关心学校事务和学校发展，遵守团队规则，尊重团队利益，积极参加各类团队活动，善于沟通和协作；</w:t>
      </w:r>
    </w:p>
    <w:p>
      <w:pPr>
        <w:autoSpaceDE w:val="0"/>
        <w:autoSpaceDN w:val="0"/>
        <w:adjustRightInd w:val="0"/>
        <w:spacing w:line="440" w:lineRule="exact"/>
        <w:ind w:firstLine="480" w:firstLineChars="200"/>
        <w:jc w:val="left"/>
        <w:rPr>
          <w:rFonts w:ascii="宋体" w:hAnsi="宋体" w:cs="仿宋_GB2312+FPEF"/>
          <w:kern w:val="0"/>
          <w:sz w:val="24"/>
        </w:rPr>
      </w:pPr>
      <w:r>
        <w:rPr>
          <w:rFonts w:hint="eastAsia" w:ascii="宋体" w:hAnsi="宋体" w:cs="仿宋_GB2312+FPEF"/>
          <w:kern w:val="0"/>
          <w:sz w:val="24"/>
        </w:rPr>
        <w:t>2．评议办法：评议由本人导师、辅导员评价</w:t>
      </w:r>
      <w:r>
        <w:rPr>
          <w:rFonts w:hint="eastAsia" w:ascii="宋体" w:hAnsi="宋体" w:cs="仿宋_GB2312+FPEF"/>
          <w:kern w:val="0"/>
          <w:sz w:val="24"/>
          <w:lang w:eastAsia="zh-CN"/>
        </w:rPr>
        <w:t>、</w:t>
      </w:r>
      <w:r>
        <w:rPr>
          <w:rFonts w:hint="eastAsia" w:ascii="宋体" w:hAnsi="宋体" w:cs="仿宋_GB2312+FPEF"/>
          <w:kern w:val="0"/>
          <w:sz w:val="24"/>
        </w:rPr>
        <w:t>研究生代表评价构成，三部分之和满分为60分，其中导师评分满分为</w:t>
      </w:r>
      <w:r>
        <w:rPr>
          <w:rFonts w:hint="eastAsia" w:ascii="宋体" w:hAnsi="宋体" w:cs="仿宋_GB2312+FPEF"/>
          <w:kern w:val="0"/>
          <w:sz w:val="24"/>
          <w:lang w:val="en-US" w:eastAsia="zh-CN"/>
        </w:rPr>
        <w:t>3</w:t>
      </w:r>
      <w:r>
        <w:rPr>
          <w:rFonts w:hint="eastAsia" w:ascii="宋体" w:hAnsi="宋体" w:cs="仿宋_GB2312+FPEF"/>
          <w:kern w:val="0"/>
          <w:sz w:val="24"/>
        </w:rPr>
        <w:t>0分，辅导员评分满分为</w:t>
      </w:r>
      <w:r>
        <w:rPr>
          <w:rFonts w:hint="eastAsia" w:ascii="宋体" w:hAnsi="宋体" w:cs="仿宋_GB2312+FPEF"/>
          <w:kern w:val="0"/>
          <w:sz w:val="24"/>
          <w:lang w:val="en-US" w:eastAsia="zh-CN"/>
        </w:rPr>
        <w:t>15</w:t>
      </w:r>
      <w:r>
        <w:rPr>
          <w:rFonts w:hint="eastAsia" w:ascii="宋体" w:hAnsi="宋体" w:cs="仿宋_GB2312+FPEF"/>
          <w:kern w:val="0"/>
          <w:sz w:val="24"/>
        </w:rPr>
        <w:t>分</w:t>
      </w:r>
      <w:r>
        <w:rPr>
          <w:rFonts w:hint="eastAsia" w:ascii="宋体" w:hAnsi="宋体" w:cs="仿宋_GB2312+FPEF"/>
          <w:kern w:val="0"/>
          <w:sz w:val="24"/>
          <w:lang w:eastAsia="zh-CN"/>
        </w:rPr>
        <w:t>，</w:t>
      </w:r>
      <w:r>
        <w:rPr>
          <w:rFonts w:hint="eastAsia" w:ascii="宋体" w:hAnsi="宋体" w:cs="仿宋_GB2312+FPEF"/>
          <w:kern w:val="0"/>
          <w:sz w:val="24"/>
        </w:rPr>
        <w:t>和研究生代表</w:t>
      </w:r>
      <w:r>
        <w:rPr>
          <w:rFonts w:hint="eastAsia" w:ascii="宋体" w:hAnsi="宋体" w:cs="仿宋_GB2312+FPEF"/>
          <w:kern w:val="0"/>
          <w:sz w:val="24"/>
          <w:lang w:val="en-US" w:eastAsia="zh-CN"/>
        </w:rPr>
        <w:t>评分15分</w:t>
      </w:r>
      <w:r>
        <w:rPr>
          <w:rFonts w:hint="eastAsia" w:ascii="宋体" w:hAnsi="宋体" w:cs="仿宋_GB2312+FPEF"/>
          <w:kern w:val="0"/>
          <w:sz w:val="24"/>
        </w:rPr>
        <w:t>。研究生代表除班长、党支部</w:t>
      </w:r>
      <w:r>
        <w:rPr>
          <w:rFonts w:hint="eastAsia" w:ascii="宋体" w:hAnsi="宋体" w:cs="仿宋_GB2312+FPEF"/>
          <w:kern w:val="0"/>
          <w:sz w:val="24"/>
          <w:lang w:val="en-US" w:eastAsia="zh-CN"/>
        </w:rPr>
        <w:t>书记、</w:t>
      </w:r>
      <w:r>
        <w:rPr>
          <w:rFonts w:hint="eastAsia" w:ascii="宋体" w:hAnsi="宋体" w:cs="仿宋_GB2312+FPEF"/>
          <w:kern w:val="0"/>
          <w:sz w:val="24"/>
        </w:rPr>
        <w:t>团支书指定参加</w:t>
      </w:r>
      <w:r>
        <w:rPr>
          <w:rFonts w:hint="eastAsia" w:ascii="宋体" w:hAnsi="宋体" w:cs="仿宋_GB2312+FPEF"/>
          <w:kern w:val="0"/>
          <w:sz w:val="24"/>
          <w:lang w:eastAsia="zh-CN"/>
        </w:rPr>
        <w:t>，</w:t>
      </w:r>
      <w:r>
        <w:rPr>
          <w:rFonts w:hint="eastAsia" w:ascii="宋体" w:hAnsi="宋体" w:cs="仿宋_GB2312+FPEF"/>
          <w:kern w:val="0"/>
          <w:sz w:val="24"/>
        </w:rPr>
        <w:t>其余代表人数不得少于参评人数的20%，研究生代表评议分计算方法取平均分。</w:t>
      </w:r>
    </w:p>
    <w:p>
      <w:pPr>
        <w:autoSpaceDE w:val="0"/>
        <w:autoSpaceDN w:val="0"/>
        <w:adjustRightInd w:val="0"/>
        <w:spacing w:line="440" w:lineRule="exact"/>
        <w:ind w:firstLine="480" w:firstLineChars="200"/>
        <w:jc w:val="left"/>
        <w:rPr>
          <w:rFonts w:ascii="宋体" w:hAnsi="宋体" w:cs="仿宋_GB2312+FPEF"/>
          <w:kern w:val="0"/>
          <w:sz w:val="24"/>
        </w:rPr>
      </w:pPr>
      <w:r>
        <w:rPr>
          <w:rFonts w:hint="eastAsia" w:ascii="宋体" w:hAnsi="宋体" w:cs="仿宋_GB2312+FPEF"/>
          <w:kern w:val="0"/>
          <w:sz w:val="24"/>
        </w:rPr>
        <w:t>评议成绩=导师评议成绩（≤</w:t>
      </w:r>
      <w:r>
        <w:rPr>
          <w:rFonts w:hint="eastAsia" w:ascii="宋体" w:hAnsi="宋体" w:cs="仿宋_GB2312+FPEF"/>
          <w:kern w:val="0"/>
          <w:sz w:val="24"/>
          <w:lang w:val="en-US" w:eastAsia="zh-CN"/>
        </w:rPr>
        <w:t>30</w:t>
      </w:r>
      <w:r>
        <w:rPr>
          <w:rFonts w:hint="eastAsia" w:ascii="宋体" w:hAnsi="宋体" w:cs="仿宋_GB2312+FPEF"/>
          <w:kern w:val="0"/>
          <w:sz w:val="24"/>
        </w:rPr>
        <w:t>）+辅导员评议成绩</w:t>
      </w:r>
      <w:r>
        <w:rPr>
          <w:rFonts w:hint="eastAsia" w:ascii="宋体" w:hAnsi="宋体" w:cs="仿宋_GB2312+FPEF"/>
          <w:kern w:val="0"/>
          <w:sz w:val="24"/>
          <w:lang w:eastAsia="zh-CN"/>
        </w:rPr>
        <w:t>（</w:t>
      </w:r>
      <w:r>
        <w:rPr>
          <w:rFonts w:hint="eastAsia" w:ascii="宋体" w:hAnsi="宋体" w:cs="仿宋_GB2312+FPEF"/>
          <w:kern w:val="0"/>
          <w:sz w:val="24"/>
        </w:rPr>
        <w:t>≤</w:t>
      </w:r>
      <w:r>
        <w:rPr>
          <w:rFonts w:hint="eastAsia" w:ascii="宋体" w:hAnsi="宋体" w:cs="仿宋_GB2312+FPEF"/>
          <w:kern w:val="0"/>
          <w:sz w:val="24"/>
          <w:lang w:val="en-US" w:eastAsia="zh-CN"/>
        </w:rPr>
        <w:t>15）</w:t>
      </w:r>
      <w:r>
        <w:rPr>
          <w:rFonts w:hint="eastAsia" w:ascii="宋体" w:hAnsi="宋体" w:cs="仿宋_GB2312+FPEF"/>
          <w:kern w:val="0"/>
          <w:sz w:val="24"/>
        </w:rPr>
        <w:t>+研究生代表评议成绩（≤</w:t>
      </w:r>
      <w:r>
        <w:rPr>
          <w:rFonts w:hint="eastAsia" w:ascii="宋体" w:hAnsi="宋体" w:cs="仿宋_GB2312+FPEF"/>
          <w:kern w:val="0"/>
          <w:sz w:val="24"/>
          <w:lang w:val="en-US" w:eastAsia="zh-CN"/>
        </w:rPr>
        <w:t>15</w:t>
      </w:r>
      <w:bookmarkStart w:id="0" w:name="_GoBack"/>
      <w:bookmarkEnd w:id="0"/>
      <w:r>
        <w:rPr>
          <w:rFonts w:hint="eastAsia" w:ascii="宋体" w:hAnsi="宋体" w:cs="仿宋_GB2312+FPEF"/>
          <w:kern w:val="0"/>
          <w:sz w:val="24"/>
        </w:rPr>
        <w:t>）</w:t>
      </w:r>
    </w:p>
    <w:p>
      <w:pPr>
        <w:shd w:val="clear" w:color="auto" w:fill="FFFFFF"/>
        <w:tabs>
          <w:tab w:val="right" w:leader="middleDot" w:pos="5880"/>
        </w:tabs>
        <w:snapToGrid w:val="0"/>
        <w:spacing w:line="360" w:lineRule="auto"/>
        <w:ind w:firstLine="480" w:firstLineChars="200"/>
        <w:rPr>
          <w:rFonts w:ascii="宋体"/>
          <w:sz w:val="24"/>
          <w:szCs w:val="24"/>
        </w:rPr>
      </w:pPr>
      <w:r>
        <w:rPr>
          <w:rFonts w:hint="eastAsia" w:ascii="宋体" w:hAnsi="宋体" w:cs="仿宋_GB2312+FPEF"/>
          <w:kern w:val="0"/>
          <w:sz w:val="24"/>
        </w:rPr>
        <w:t>研究生代表</w:t>
      </w:r>
      <w:r>
        <w:rPr>
          <w:rFonts w:hint="eastAsia" w:ascii="宋体" w:hAnsi="宋体"/>
          <w:sz w:val="24"/>
          <w:szCs w:val="24"/>
        </w:rPr>
        <w:t>评议标准</w:t>
      </w: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610"/>
        <w:gridCol w:w="1291"/>
        <w:gridCol w:w="1291"/>
        <w:gridCol w:w="1291"/>
        <w:gridCol w:w="1291"/>
        <w:gridCol w:w="12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10" w:type="dxa"/>
            <w:tcBorders>
              <w:top w:val="single" w:color="auto" w:sz="4" w:space="0"/>
              <w:bottom w:val="single" w:color="auto" w:sz="4" w:space="0"/>
              <w:right w:val="single" w:color="auto" w:sz="4" w:space="0"/>
            </w:tcBorders>
            <w:vAlign w:val="center"/>
          </w:tcPr>
          <w:p>
            <w:pPr>
              <w:pStyle w:val="2"/>
              <w:spacing w:line="360" w:lineRule="auto"/>
              <w:ind w:firstLine="0" w:firstLineChars="0"/>
              <w:jc w:val="center"/>
              <w:rPr>
                <w:rFonts w:ascii="宋体"/>
                <w:kern w:val="2"/>
              </w:rPr>
            </w:pPr>
            <w:r>
              <w:rPr>
                <w:rFonts w:hint="eastAsia" w:ascii="宋体" w:hAnsi="宋体"/>
                <w:kern w:val="2"/>
              </w:rPr>
              <w:t>综合印象</w:t>
            </w:r>
          </w:p>
        </w:tc>
        <w:tc>
          <w:tcPr>
            <w:tcW w:w="1291" w:type="dxa"/>
            <w:tcBorders>
              <w:top w:val="single" w:color="auto" w:sz="4" w:space="0"/>
              <w:left w:val="single" w:color="auto" w:sz="4" w:space="0"/>
              <w:bottom w:val="single" w:color="auto" w:sz="4" w:space="0"/>
              <w:right w:val="single" w:color="auto" w:sz="4" w:space="0"/>
            </w:tcBorders>
            <w:vAlign w:val="center"/>
          </w:tcPr>
          <w:p>
            <w:pPr>
              <w:pStyle w:val="2"/>
              <w:spacing w:line="360" w:lineRule="auto"/>
              <w:ind w:firstLine="0" w:firstLineChars="0"/>
              <w:jc w:val="center"/>
              <w:rPr>
                <w:rFonts w:ascii="宋体"/>
                <w:kern w:val="2"/>
              </w:rPr>
            </w:pPr>
            <w:r>
              <w:rPr>
                <w:rFonts w:hint="eastAsia" w:ascii="宋体" w:hAnsi="宋体"/>
                <w:kern w:val="2"/>
              </w:rPr>
              <w:t>优秀</w:t>
            </w:r>
          </w:p>
        </w:tc>
        <w:tc>
          <w:tcPr>
            <w:tcW w:w="1291" w:type="dxa"/>
            <w:tcBorders>
              <w:top w:val="single" w:color="auto" w:sz="4" w:space="0"/>
              <w:left w:val="single" w:color="auto" w:sz="4" w:space="0"/>
              <w:bottom w:val="single" w:color="auto" w:sz="4" w:space="0"/>
              <w:right w:val="single" w:color="auto" w:sz="4" w:space="0"/>
            </w:tcBorders>
            <w:vAlign w:val="center"/>
          </w:tcPr>
          <w:p>
            <w:pPr>
              <w:pStyle w:val="2"/>
              <w:spacing w:line="360" w:lineRule="auto"/>
              <w:ind w:firstLine="0" w:firstLineChars="0"/>
              <w:jc w:val="center"/>
              <w:rPr>
                <w:rFonts w:ascii="宋体"/>
                <w:kern w:val="2"/>
              </w:rPr>
            </w:pPr>
            <w:r>
              <w:rPr>
                <w:rFonts w:hint="eastAsia" w:ascii="宋体" w:hAnsi="宋体"/>
                <w:kern w:val="2"/>
              </w:rPr>
              <w:t>良好</w:t>
            </w:r>
          </w:p>
        </w:tc>
        <w:tc>
          <w:tcPr>
            <w:tcW w:w="1291" w:type="dxa"/>
            <w:tcBorders>
              <w:top w:val="single" w:color="auto" w:sz="4" w:space="0"/>
              <w:left w:val="single" w:color="auto" w:sz="4" w:space="0"/>
              <w:bottom w:val="single" w:color="auto" w:sz="4" w:space="0"/>
              <w:right w:val="single" w:color="auto" w:sz="4" w:space="0"/>
            </w:tcBorders>
            <w:vAlign w:val="center"/>
          </w:tcPr>
          <w:p>
            <w:pPr>
              <w:pStyle w:val="2"/>
              <w:spacing w:line="360" w:lineRule="auto"/>
              <w:ind w:firstLine="0" w:firstLineChars="0"/>
              <w:jc w:val="center"/>
              <w:rPr>
                <w:rFonts w:ascii="宋体"/>
                <w:kern w:val="2"/>
              </w:rPr>
            </w:pPr>
            <w:r>
              <w:rPr>
                <w:rFonts w:hint="eastAsia" w:ascii="宋体" w:hAnsi="宋体"/>
                <w:kern w:val="2"/>
              </w:rPr>
              <w:t>合格</w:t>
            </w:r>
          </w:p>
        </w:tc>
        <w:tc>
          <w:tcPr>
            <w:tcW w:w="1291" w:type="dxa"/>
            <w:tcBorders>
              <w:top w:val="single" w:color="auto" w:sz="4" w:space="0"/>
              <w:left w:val="single" w:color="auto" w:sz="4" w:space="0"/>
              <w:bottom w:val="single" w:color="auto" w:sz="4" w:space="0"/>
              <w:right w:val="single" w:color="auto" w:sz="4" w:space="0"/>
            </w:tcBorders>
            <w:vAlign w:val="center"/>
          </w:tcPr>
          <w:p>
            <w:pPr>
              <w:pStyle w:val="2"/>
              <w:spacing w:line="360" w:lineRule="auto"/>
              <w:ind w:firstLine="0" w:firstLineChars="0"/>
              <w:jc w:val="center"/>
              <w:rPr>
                <w:rFonts w:ascii="宋体"/>
                <w:kern w:val="2"/>
              </w:rPr>
            </w:pPr>
            <w:r>
              <w:rPr>
                <w:rFonts w:hint="eastAsia" w:ascii="宋体" w:hAnsi="宋体"/>
                <w:kern w:val="2"/>
              </w:rPr>
              <w:t>较差</w:t>
            </w:r>
          </w:p>
        </w:tc>
        <w:tc>
          <w:tcPr>
            <w:tcW w:w="1291" w:type="dxa"/>
            <w:tcBorders>
              <w:top w:val="single" w:color="auto" w:sz="4" w:space="0"/>
              <w:left w:val="single" w:color="auto" w:sz="4" w:space="0"/>
              <w:bottom w:val="single" w:color="auto" w:sz="4" w:space="0"/>
            </w:tcBorders>
            <w:vAlign w:val="center"/>
          </w:tcPr>
          <w:p>
            <w:pPr>
              <w:pStyle w:val="2"/>
              <w:spacing w:line="360" w:lineRule="auto"/>
              <w:ind w:firstLine="0" w:firstLineChars="0"/>
              <w:jc w:val="center"/>
              <w:rPr>
                <w:rFonts w:ascii="宋体"/>
                <w:kern w:val="2"/>
              </w:rPr>
            </w:pPr>
            <w:r>
              <w:rPr>
                <w:rFonts w:hint="eastAsia" w:ascii="宋体" w:hAnsi="宋体"/>
                <w:kern w:val="2"/>
              </w:rPr>
              <w:t>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10" w:type="dxa"/>
            <w:tcBorders>
              <w:top w:val="single" w:color="auto" w:sz="4" w:space="0"/>
              <w:bottom w:val="single" w:color="auto" w:sz="4" w:space="0"/>
              <w:right w:val="single" w:color="auto" w:sz="4" w:space="0"/>
            </w:tcBorders>
            <w:vAlign w:val="center"/>
          </w:tcPr>
          <w:p>
            <w:pPr>
              <w:pStyle w:val="2"/>
              <w:spacing w:line="360" w:lineRule="auto"/>
              <w:ind w:firstLine="0" w:firstLineChars="0"/>
              <w:jc w:val="center"/>
              <w:rPr>
                <w:rFonts w:ascii="宋体"/>
                <w:kern w:val="2"/>
              </w:rPr>
            </w:pPr>
            <w:r>
              <w:rPr>
                <w:rFonts w:hint="eastAsia" w:ascii="宋体" w:hAnsi="宋体"/>
                <w:kern w:val="2"/>
              </w:rPr>
              <w:t>可得分数</w:t>
            </w:r>
          </w:p>
        </w:tc>
        <w:tc>
          <w:tcPr>
            <w:tcW w:w="1291" w:type="dxa"/>
            <w:tcBorders>
              <w:top w:val="single" w:color="auto" w:sz="4" w:space="0"/>
              <w:left w:val="single" w:color="auto" w:sz="4" w:space="0"/>
              <w:bottom w:val="single" w:color="auto" w:sz="4" w:space="0"/>
              <w:right w:val="single" w:color="auto" w:sz="4" w:space="0"/>
            </w:tcBorders>
            <w:vAlign w:val="center"/>
          </w:tcPr>
          <w:p>
            <w:pPr>
              <w:pStyle w:val="2"/>
              <w:spacing w:line="360" w:lineRule="auto"/>
              <w:ind w:firstLine="0" w:firstLineChars="0"/>
              <w:jc w:val="center"/>
              <w:rPr>
                <w:rFonts w:hint="default" w:ascii="宋体" w:hAnsi="宋体" w:eastAsia="宋体"/>
                <w:kern w:val="2"/>
                <w:lang w:val="en-US" w:eastAsia="zh-CN"/>
              </w:rPr>
            </w:pPr>
            <w:r>
              <w:rPr>
                <w:rFonts w:ascii="宋体" w:hAnsi="宋体"/>
                <w:kern w:val="2"/>
              </w:rPr>
              <w:t>1</w:t>
            </w:r>
            <w:r>
              <w:rPr>
                <w:rFonts w:hint="eastAsia" w:ascii="宋体" w:hAnsi="宋体"/>
                <w:kern w:val="2"/>
                <w:lang w:val="en-US" w:eastAsia="zh-CN"/>
              </w:rPr>
              <w:t>4</w:t>
            </w:r>
            <w:r>
              <w:rPr>
                <w:rFonts w:hint="eastAsia" w:ascii="宋体" w:hAnsi="宋体"/>
                <w:kern w:val="2"/>
              </w:rPr>
              <w:t>～</w:t>
            </w:r>
            <w:r>
              <w:rPr>
                <w:rFonts w:hint="eastAsia" w:ascii="宋体" w:hAnsi="宋体"/>
                <w:kern w:val="2"/>
                <w:lang w:val="en-US" w:eastAsia="zh-CN"/>
              </w:rPr>
              <w:t>15</w:t>
            </w:r>
          </w:p>
        </w:tc>
        <w:tc>
          <w:tcPr>
            <w:tcW w:w="1291" w:type="dxa"/>
            <w:tcBorders>
              <w:top w:val="single" w:color="auto" w:sz="4" w:space="0"/>
              <w:left w:val="single" w:color="auto" w:sz="4" w:space="0"/>
              <w:bottom w:val="single" w:color="auto" w:sz="4" w:space="0"/>
              <w:right w:val="single" w:color="auto" w:sz="4" w:space="0"/>
            </w:tcBorders>
            <w:vAlign w:val="center"/>
          </w:tcPr>
          <w:p>
            <w:pPr>
              <w:pStyle w:val="2"/>
              <w:spacing w:line="360" w:lineRule="auto"/>
              <w:ind w:firstLine="0" w:firstLineChars="0"/>
              <w:jc w:val="center"/>
              <w:rPr>
                <w:rFonts w:hint="eastAsia" w:ascii="宋体" w:hAnsi="宋体" w:eastAsia="宋体"/>
                <w:kern w:val="2"/>
                <w:lang w:val="en-US" w:eastAsia="zh-CN"/>
              </w:rPr>
            </w:pPr>
            <w:r>
              <w:rPr>
                <w:rFonts w:hint="eastAsia" w:ascii="宋体" w:hAnsi="宋体"/>
                <w:kern w:val="2"/>
                <w:lang w:val="en-US" w:eastAsia="zh-CN"/>
              </w:rPr>
              <w:t>11</w:t>
            </w:r>
            <w:r>
              <w:rPr>
                <w:rFonts w:hint="eastAsia" w:ascii="宋体" w:hAnsi="宋体"/>
                <w:kern w:val="2"/>
              </w:rPr>
              <w:t>～</w:t>
            </w:r>
            <w:r>
              <w:rPr>
                <w:rFonts w:ascii="宋体" w:hAnsi="宋体"/>
                <w:kern w:val="2"/>
              </w:rPr>
              <w:t>1</w:t>
            </w:r>
            <w:r>
              <w:rPr>
                <w:rFonts w:hint="eastAsia" w:ascii="宋体" w:hAnsi="宋体"/>
                <w:kern w:val="2"/>
                <w:lang w:val="en-US" w:eastAsia="zh-CN"/>
              </w:rPr>
              <w:t>3</w:t>
            </w:r>
          </w:p>
        </w:tc>
        <w:tc>
          <w:tcPr>
            <w:tcW w:w="1291" w:type="dxa"/>
            <w:tcBorders>
              <w:top w:val="single" w:color="auto" w:sz="4" w:space="0"/>
              <w:left w:val="single" w:color="auto" w:sz="4" w:space="0"/>
              <w:bottom w:val="single" w:color="auto" w:sz="4" w:space="0"/>
              <w:right w:val="single" w:color="auto" w:sz="4" w:space="0"/>
            </w:tcBorders>
            <w:vAlign w:val="center"/>
          </w:tcPr>
          <w:p>
            <w:pPr>
              <w:pStyle w:val="2"/>
              <w:spacing w:line="360" w:lineRule="auto"/>
              <w:ind w:firstLine="0" w:firstLineChars="0"/>
              <w:jc w:val="center"/>
              <w:rPr>
                <w:rFonts w:hint="eastAsia" w:ascii="宋体" w:hAnsi="宋体" w:eastAsia="宋体"/>
                <w:kern w:val="2"/>
                <w:lang w:val="en-US" w:eastAsia="zh-CN"/>
              </w:rPr>
            </w:pPr>
            <w:r>
              <w:rPr>
                <w:rFonts w:hint="eastAsia" w:ascii="宋体" w:hAnsi="宋体"/>
                <w:kern w:val="2"/>
                <w:lang w:val="en-US" w:eastAsia="zh-CN"/>
              </w:rPr>
              <w:t>9</w:t>
            </w:r>
            <w:r>
              <w:rPr>
                <w:rFonts w:hint="eastAsia" w:ascii="宋体" w:hAnsi="宋体"/>
                <w:kern w:val="2"/>
              </w:rPr>
              <w:t>～</w:t>
            </w:r>
            <w:r>
              <w:rPr>
                <w:rFonts w:ascii="宋体" w:hAnsi="宋体"/>
                <w:kern w:val="2"/>
              </w:rPr>
              <w:t>1</w:t>
            </w:r>
            <w:r>
              <w:rPr>
                <w:rFonts w:hint="eastAsia" w:ascii="宋体" w:hAnsi="宋体"/>
                <w:kern w:val="2"/>
                <w:lang w:val="en-US" w:eastAsia="zh-CN"/>
              </w:rPr>
              <w:t>0</w:t>
            </w:r>
          </w:p>
        </w:tc>
        <w:tc>
          <w:tcPr>
            <w:tcW w:w="1291" w:type="dxa"/>
            <w:tcBorders>
              <w:top w:val="single" w:color="auto" w:sz="4" w:space="0"/>
              <w:left w:val="single" w:color="auto" w:sz="4" w:space="0"/>
              <w:bottom w:val="single" w:color="auto" w:sz="4" w:space="0"/>
              <w:right w:val="single" w:color="auto" w:sz="4" w:space="0"/>
            </w:tcBorders>
            <w:vAlign w:val="center"/>
          </w:tcPr>
          <w:p>
            <w:pPr>
              <w:pStyle w:val="2"/>
              <w:spacing w:line="360" w:lineRule="auto"/>
              <w:ind w:firstLine="0" w:firstLineChars="0"/>
              <w:jc w:val="center"/>
              <w:rPr>
                <w:rFonts w:hint="eastAsia" w:ascii="宋体" w:hAnsi="宋体" w:eastAsia="宋体"/>
                <w:kern w:val="2"/>
                <w:lang w:val="en-US" w:eastAsia="zh-CN"/>
              </w:rPr>
            </w:pPr>
            <w:r>
              <w:rPr>
                <w:rFonts w:hint="eastAsia" w:ascii="宋体" w:hAnsi="宋体"/>
                <w:kern w:val="2"/>
                <w:lang w:val="en-US" w:eastAsia="zh-CN"/>
              </w:rPr>
              <w:t>6</w:t>
            </w:r>
            <w:r>
              <w:rPr>
                <w:rFonts w:hint="eastAsia" w:ascii="宋体" w:hAnsi="宋体"/>
                <w:kern w:val="2"/>
              </w:rPr>
              <w:t>～</w:t>
            </w:r>
            <w:r>
              <w:rPr>
                <w:rFonts w:hint="eastAsia" w:ascii="宋体" w:hAnsi="宋体"/>
                <w:kern w:val="2"/>
                <w:lang w:val="en-US" w:eastAsia="zh-CN"/>
              </w:rPr>
              <w:t>8</w:t>
            </w:r>
          </w:p>
        </w:tc>
        <w:tc>
          <w:tcPr>
            <w:tcW w:w="1291" w:type="dxa"/>
            <w:tcBorders>
              <w:top w:val="single" w:color="auto" w:sz="4" w:space="0"/>
              <w:left w:val="single" w:color="auto" w:sz="4" w:space="0"/>
              <w:bottom w:val="single" w:color="auto" w:sz="4" w:space="0"/>
            </w:tcBorders>
            <w:vAlign w:val="center"/>
          </w:tcPr>
          <w:p>
            <w:pPr>
              <w:pStyle w:val="2"/>
              <w:spacing w:line="360" w:lineRule="auto"/>
              <w:ind w:left="-210" w:leftChars="-100" w:right="-210" w:rightChars="-100" w:firstLine="0" w:firstLineChars="0"/>
              <w:jc w:val="center"/>
              <w:rPr>
                <w:rFonts w:ascii="宋体"/>
                <w:kern w:val="2"/>
              </w:rPr>
            </w:pPr>
            <w:r>
              <w:rPr>
                <w:rFonts w:hint="eastAsia" w:ascii="宋体" w:hAnsi="宋体"/>
                <w:kern w:val="2"/>
                <w:lang w:val="en-US" w:eastAsia="zh-CN"/>
              </w:rPr>
              <w:t>6</w:t>
            </w:r>
            <w:r>
              <w:rPr>
                <w:rFonts w:hint="eastAsia" w:ascii="宋体" w:hAnsi="宋体"/>
                <w:kern w:val="2"/>
              </w:rPr>
              <w:t>以下</w:t>
            </w:r>
          </w:p>
        </w:tc>
      </w:tr>
    </w:tbl>
    <w:p>
      <w:pPr>
        <w:autoSpaceDE w:val="0"/>
        <w:autoSpaceDN w:val="0"/>
        <w:adjustRightInd w:val="0"/>
        <w:spacing w:line="440" w:lineRule="exact"/>
        <w:ind w:firstLine="480" w:firstLineChars="200"/>
        <w:jc w:val="left"/>
        <w:rPr>
          <w:rFonts w:ascii="宋体" w:hAnsi="宋体" w:cs="仿宋_GB2312+FPEF"/>
          <w:kern w:val="0"/>
          <w:sz w:val="24"/>
        </w:rPr>
      </w:pPr>
    </w:p>
    <w:p>
      <w:pPr>
        <w:autoSpaceDE w:val="0"/>
        <w:autoSpaceDN w:val="0"/>
        <w:adjustRightInd w:val="0"/>
        <w:spacing w:line="440" w:lineRule="exact"/>
        <w:ind w:firstLine="480" w:firstLineChars="200"/>
        <w:jc w:val="left"/>
        <w:rPr>
          <w:rFonts w:ascii="宋体" w:hAnsi="宋体" w:cs="仿宋_GB2312+FPEF"/>
          <w:kern w:val="0"/>
          <w:sz w:val="24"/>
        </w:rPr>
      </w:pPr>
      <w:r>
        <w:rPr>
          <w:rFonts w:hint="eastAsia" w:ascii="宋体" w:hAnsi="宋体" w:cs="仿宋_GB2312+FPEF"/>
          <w:kern w:val="0"/>
          <w:sz w:val="24"/>
        </w:rPr>
        <w:t>（二）记实项目和标准：</w:t>
      </w:r>
    </w:p>
    <w:p>
      <w:pPr>
        <w:autoSpaceDE w:val="0"/>
        <w:autoSpaceDN w:val="0"/>
        <w:adjustRightInd w:val="0"/>
        <w:spacing w:line="440" w:lineRule="exact"/>
        <w:ind w:firstLine="480" w:firstLineChars="200"/>
        <w:jc w:val="left"/>
        <w:rPr>
          <w:rFonts w:ascii="宋体" w:hAnsi="宋体" w:cs="仿宋_GB2312+FPEF"/>
          <w:kern w:val="0"/>
          <w:sz w:val="24"/>
        </w:rPr>
      </w:pPr>
      <w:r>
        <w:rPr>
          <w:rFonts w:hint="eastAsia" w:ascii="宋体" w:hAnsi="宋体" w:cs="仿宋_GB2312+FPEF"/>
          <w:kern w:val="0"/>
          <w:sz w:val="24"/>
        </w:rPr>
        <w:t>记实项目满分40分，最低分可低于0分。</w:t>
      </w:r>
    </w:p>
    <w:p>
      <w:r>
        <w:rPr>
          <w:rFonts w:hint="eastAsia" w:ascii="宋体" w:hAnsi="宋体" w:cs="仿宋_GB2312+FPEF"/>
          <w:kern w:val="0"/>
          <w:sz w:val="24"/>
        </w:rPr>
        <w:t>1.加分：“记实”主要是对研究生参与社会公益活动、志愿服务活动、</w:t>
      </w:r>
      <w:r>
        <w:rPr>
          <w:rFonts w:hint="eastAsia" w:ascii="宋体" w:hAnsi="宋体"/>
          <w:sz w:val="24"/>
          <w:szCs w:val="24"/>
        </w:rPr>
        <w:t>学术活动、院级班级重要活动</w:t>
      </w:r>
      <w:r>
        <w:rPr>
          <w:rFonts w:hint="eastAsia" w:ascii="宋体" w:hAnsi="宋体" w:cs="仿宋_GB2312+FPEF"/>
          <w:kern w:val="0"/>
          <w:sz w:val="24"/>
        </w:rPr>
        <w:t>和其他有突出表现的事迹进行记录和评价。研究生参加以上活动，应提供相应证明材料，经学院认定后，按参与次数或者重要程度给予计分。</w:t>
      </w:r>
    </w:p>
    <w:p>
      <w:pPr>
        <w:autoSpaceDE w:val="0"/>
        <w:autoSpaceDN w:val="0"/>
        <w:adjustRightInd w:val="0"/>
        <w:spacing w:line="440" w:lineRule="exact"/>
        <w:ind w:firstLine="480" w:firstLineChars="200"/>
        <w:jc w:val="left"/>
        <w:rPr>
          <w:rFonts w:ascii="宋体" w:hAnsi="宋体" w:cs="仿宋_GB2312+FPEF"/>
          <w:kern w:val="0"/>
          <w:sz w:val="24"/>
        </w:rPr>
      </w:pPr>
      <w:r>
        <w:rPr>
          <w:rFonts w:hint="eastAsia" w:ascii="宋体" w:hAnsi="宋体" w:cs="仿宋_GB2312+FPEF"/>
          <w:kern w:val="0"/>
          <w:sz w:val="24"/>
        </w:rPr>
        <w:t>（1）公益志愿活动服务时数每8小时加1分，（党员发展和预备党员转正志愿时数不作为此加分）累计不超过5分。星级志愿者再加2--10分。</w:t>
      </w:r>
    </w:p>
    <w:p>
      <w:pPr>
        <w:autoSpaceDE w:val="0"/>
        <w:autoSpaceDN w:val="0"/>
        <w:adjustRightInd w:val="0"/>
        <w:spacing w:line="440" w:lineRule="exact"/>
        <w:ind w:firstLine="480" w:firstLineChars="200"/>
        <w:jc w:val="left"/>
        <w:rPr>
          <w:rFonts w:ascii="宋体" w:hAnsi="宋体" w:cs="仿宋_GB2312+FPEF"/>
          <w:kern w:val="0"/>
          <w:sz w:val="24"/>
        </w:rPr>
      </w:pPr>
      <w:r>
        <w:rPr>
          <w:rFonts w:hint="eastAsia" w:ascii="宋体" w:hAnsi="宋体" w:cs="仿宋_GB2312+FPEF"/>
          <w:kern w:val="0"/>
          <w:sz w:val="24"/>
        </w:rPr>
        <w:t>（2）CPA通过一门加</w:t>
      </w:r>
      <w:r>
        <w:rPr>
          <w:rFonts w:hint="eastAsia" w:ascii="宋体" w:hAnsi="宋体" w:cs="仿宋_GB2312+FPEF"/>
          <w:kern w:val="0"/>
          <w:sz w:val="24"/>
          <w:lang w:val="en-US" w:eastAsia="zh-CN"/>
        </w:rPr>
        <w:t>2</w:t>
      </w:r>
      <w:r>
        <w:rPr>
          <w:rFonts w:hint="eastAsia" w:ascii="宋体" w:hAnsi="宋体" w:cs="仿宋_GB2312+FPEF"/>
          <w:kern w:val="0"/>
          <w:sz w:val="24"/>
        </w:rPr>
        <w:t>分，CMA、CIA、税务师通过一门加</w:t>
      </w:r>
      <w:r>
        <w:rPr>
          <w:rFonts w:hint="eastAsia" w:ascii="宋体" w:hAnsi="宋体" w:cs="仿宋_GB2312+FPEF"/>
          <w:kern w:val="0"/>
          <w:sz w:val="24"/>
          <w:lang w:val="en-US" w:eastAsia="zh-CN"/>
        </w:rPr>
        <w:t>1</w:t>
      </w:r>
      <w:r>
        <w:rPr>
          <w:rFonts w:hint="eastAsia" w:ascii="宋体" w:hAnsi="宋体" w:cs="仿宋_GB2312+FPEF"/>
          <w:kern w:val="0"/>
          <w:sz w:val="24"/>
        </w:rPr>
        <w:t>分。</w:t>
      </w:r>
    </w:p>
    <w:p>
      <w:pPr>
        <w:autoSpaceDE w:val="0"/>
        <w:autoSpaceDN w:val="0"/>
        <w:adjustRightInd w:val="0"/>
        <w:spacing w:line="440" w:lineRule="exact"/>
        <w:ind w:firstLine="480" w:firstLineChars="200"/>
        <w:jc w:val="left"/>
        <w:rPr>
          <w:rFonts w:hint="default" w:ascii="宋体" w:hAnsi="宋体" w:eastAsia="宋体" w:cs="仿宋_GB2312+FPEF"/>
          <w:kern w:val="0"/>
          <w:sz w:val="24"/>
          <w:lang w:val="en-US" w:eastAsia="zh-CN"/>
        </w:rPr>
      </w:pPr>
      <w:r>
        <w:rPr>
          <w:rFonts w:hint="eastAsia" w:ascii="宋体" w:hAnsi="宋体" w:cs="仿宋_GB2312+FPEF"/>
          <w:kern w:val="0"/>
          <w:sz w:val="24"/>
        </w:rPr>
        <w:t>（3）</w:t>
      </w:r>
      <w:r>
        <w:rPr>
          <w:rFonts w:hint="eastAsia" w:ascii="宋体" w:hAnsi="宋体" w:cs="仿宋_GB2312+FPEF"/>
          <w:kern w:val="0"/>
          <w:sz w:val="24"/>
          <w:lang w:val="en-US" w:eastAsia="zh-CN"/>
        </w:rPr>
        <w:t>校级、院级</w:t>
      </w:r>
      <w:r>
        <w:rPr>
          <w:rFonts w:hint="eastAsia" w:ascii="宋体" w:hAnsi="宋体" w:cs="仿宋_GB2312+FPEF"/>
          <w:kern w:val="0"/>
          <w:sz w:val="24"/>
        </w:rPr>
        <w:t>文体比赛获奖加1-2分，参与不加分。</w:t>
      </w:r>
      <w:r>
        <w:rPr>
          <w:rFonts w:hint="eastAsia" w:ascii="宋体" w:hAnsi="宋体" w:cs="仿宋_GB2312+FPEF"/>
          <w:kern w:val="0"/>
          <w:sz w:val="24"/>
          <w:lang w:eastAsia="zh-CN"/>
        </w:rPr>
        <w:t>（</w:t>
      </w:r>
      <w:r>
        <w:rPr>
          <w:rFonts w:hint="eastAsia" w:ascii="宋体" w:hAnsi="宋体" w:cs="仿宋_GB2312+FPEF"/>
          <w:kern w:val="0"/>
          <w:sz w:val="24"/>
          <w:lang w:val="en-US" w:eastAsia="zh-CN"/>
        </w:rPr>
        <w:t>院校级主要比赛及一般职能部门、协会主要比赛）</w:t>
      </w:r>
    </w:p>
    <w:p>
      <w:pPr>
        <w:autoSpaceDE w:val="0"/>
        <w:autoSpaceDN w:val="0"/>
        <w:adjustRightInd w:val="0"/>
        <w:spacing w:line="440" w:lineRule="exact"/>
        <w:ind w:firstLine="480" w:firstLineChars="200"/>
        <w:jc w:val="left"/>
        <w:rPr>
          <w:rFonts w:hint="default" w:ascii="宋体" w:hAnsi="宋体" w:eastAsia="宋体" w:cs="仿宋_GB2312+FPEF"/>
          <w:kern w:val="0"/>
          <w:sz w:val="24"/>
          <w:lang w:val="en-US" w:eastAsia="zh-CN"/>
        </w:rPr>
      </w:pPr>
      <w:r>
        <w:rPr>
          <w:rFonts w:hint="eastAsia" w:ascii="宋体" w:hAnsi="宋体" w:cs="仿宋_GB2312+FPEF"/>
          <w:kern w:val="0"/>
          <w:sz w:val="24"/>
        </w:rPr>
        <w:t>（4）</w:t>
      </w:r>
      <w:r>
        <w:rPr>
          <w:rFonts w:hint="eastAsia" w:ascii="宋体" w:hAnsi="宋体" w:cs="仿宋_GB2312+FPEF"/>
          <w:kern w:val="0"/>
          <w:sz w:val="24"/>
          <w:lang w:val="en-US" w:eastAsia="zh-CN"/>
        </w:rPr>
        <w:t>本院或者本校主要</w:t>
      </w:r>
      <w:r>
        <w:rPr>
          <w:rFonts w:hint="eastAsia" w:ascii="宋体" w:hAnsi="宋体" w:cs="仿宋_GB2312+FPEF"/>
          <w:kern w:val="0"/>
          <w:sz w:val="24"/>
        </w:rPr>
        <w:t>学术论坛，一等奖加10分，二等奖加8分，三等奖加6分，优胜奖加4分</w:t>
      </w:r>
      <w:r>
        <w:rPr>
          <w:rFonts w:hint="eastAsia" w:ascii="宋体" w:hAnsi="宋体" w:cs="仿宋_GB2312+FPEF"/>
          <w:kern w:val="0"/>
          <w:sz w:val="24"/>
          <w:lang w:eastAsia="zh-CN"/>
        </w:rPr>
        <w:t>，</w:t>
      </w:r>
      <w:r>
        <w:rPr>
          <w:rFonts w:hint="eastAsia" w:ascii="宋体" w:hAnsi="宋体" w:cs="仿宋_GB2312+FPEF"/>
          <w:kern w:val="0"/>
          <w:sz w:val="24"/>
        </w:rPr>
        <w:t>投稿加3分。</w:t>
      </w:r>
    </w:p>
    <w:p>
      <w:pPr>
        <w:autoSpaceDE w:val="0"/>
        <w:autoSpaceDN w:val="0"/>
        <w:adjustRightInd w:val="0"/>
        <w:spacing w:line="440" w:lineRule="exact"/>
        <w:ind w:firstLine="480" w:firstLineChars="200"/>
        <w:jc w:val="left"/>
        <w:rPr>
          <w:rFonts w:ascii="宋体" w:hAnsi="宋体" w:cs="仿宋_GB2312+FPEF"/>
          <w:kern w:val="0"/>
          <w:sz w:val="24"/>
        </w:rPr>
      </w:pPr>
      <w:r>
        <w:rPr>
          <w:rFonts w:hint="eastAsia" w:ascii="宋体" w:hAnsi="宋体" w:cs="仿宋_GB2312+FPEF"/>
          <w:kern w:val="0"/>
          <w:sz w:val="24"/>
        </w:rPr>
        <w:t>（5）校级科研创新基金负责人加</w:t>
      </w:r>
      <w:r>
        <w:rPr>
          <w:rFonts w:hint="eastAsia" w:ascii="宋体" w:hAnsi="宋体" w:cs="仿宋_GB2312+FPEF"/>
          <w:kern w:val="0"/>
          <w:sz w:val="24"/>
          <w:lang w:val="en-US" w:eastAsia="zh-CN"/>
        </w:rPr>
        <w:t>4</w:t>
      </w:r>
      <w:r>
        <w:rPr>
          <w:rFonts w:hint="eastAsia" w:ascii="宋体" w:hAnsi="宋体" w:cs="仿宋_GB2312+FPEF"/>
          <w:kern w:val="0"/>
          <w:sz w:val="24"/>
        </w:rPr>
        <w:t>分，参与者加</w:t>
      </w:r>
      <w:r>
        <w:rPr>
          <w:rFonts w:hint="eastAsia" w:ascii="宋体" w:hAnsi="宋体" w:cs="仿宋_GB2312+FPEF"/>
          <w:kern w:val="0"/>
          <w:sz w:val="24"/>
          <w:lang w:val="en-US" w:eastAsia="zh-CN"/>
        </w:rPr>
        <w:t>2</w:t>
      </w:r>
      <w:r>
        <w:rPr>
          <w:rFonts w:hint="eastAsia" w:ascii="宋体" w:hAnsi="宋体" w:cs="仿宋_GB2312+FPEF"/>
          <w:kern w:val="0"/>
          <w:sz w:val="24"/>
        </w:rPr>
        <w:t>分，课题立项加50%，结题后加50%。</w:t>
      </w:r>
    </w:p>
    <w:p>
      <w:pPr>
        <w:autoSpaceDE w:val="0"/>
        <w:autoSpaceDN w:val="0"/>
        <w:adjustRightInd w:val="0"/>
        <w:spacing w:line="440" w:lineRule="exact"/>
        <w:ind w:firstLine="480" w:firstLineChars="200"/>
        <w:jc w:val="left"/>
        <w:rPr>
          <w:rFonts w:hint="eastAsia" w:ascii="宋体" w:hAnsi="宋体" w:cs="仿宋_GB2312+FPEF"/>
          <w:kern w:val="0"/>
          <w:sz w:val="24"/>
          <w:lang w:val="en-US" w:eastAsia="zh-CN"/>
        </w:rPr>
      </w:pPr>
      <w:r>
        <w:rPr>
          <w:rFonts w:hint="eastAsia" w:ascii="宋体" w:hAnsi="宋体" w:cs="仿宋_GB2312+FPEF"/>
          <w:kern w:val="0"/>
          <w:sz w:val="24"/>
        </w:rPr>
        <w:t>（6）学院MPACC案例大赛，一等奖加8分，二等奖加6分，三等奖加5分，优胜奖加4分；</w:t>
      </w:r>
      <w:r>
        <w:rPr>
          <w:rFonts w:hint="eastAsia" w:ascii="宋体" w:hAnsi="宋体" w:cs="仿宋_GB2312+FPEF"/>
          <w:kern w:val="0"/>
          <w:sz w:val="24"/>
          <w:lang w:val="en-US" w:eastAsia="zh-CN"/>
        </w:rPr>
        <w:t>同一比赛入围</w:t>
      </w:r>
      <w:r>
        <w:rPr>
          <w:rFonts w:hint="eastAsia" w:ascii="宋体" w:hAnsi="宋体" w:cs="仿宋_GB2312+FPEF"/>
          <w:kern w:val="0"/>
          <w:sz w:val="24"/>
        </w:rPr>
        <w:t>全国MPACC案例</w:t>
      </w:r>
      <w:r>
        <w:rPr>
          <w:rFonts w:hint="eastAsia" w:ascii="宋体" w:hAnsi="宋体" w:cs="仿宋_GB2312+FPEF"/>
          <w:kern w:val="0"/>
          <w:sz w:val="24"/>
          <w:lang w:val="en-US" w:eastAsia="zh-CN"/>
        </w:rPr>
        <w:t>华南赛区级及以上不累计加分。</w:t>
      </w:r>
    </w:p>
    <w:p>
      <w:pPr>
        <w:autoSpaceDE w:val="0"/>
        <w:autoSpaceDN w:val="0"/>
        <w:adjustRightInd w:val="0"/>
        <w:spacing w:line="440" w:lineRule="exact"/>
        <w:ind w:firstLine="480" w:firstLineChars="200"/>
        <w:jc w:val="left"/>
        <w:rPr>
          <w:rFonts w:ascii="宋体" w:hAnsi="宋体" w:cs="仿宋_GB2312+FPEF"/>
          <w:kern w:val="0"/>
          <w:sz w:val="24"/>
        </w:rPr>
      </w:pPr>
      <w:r>
        <w:rPr>
          <w:rFonts w:hint="eastAsia" w:ascii="宋体" w:hAnsi="宋体" w:cs="仿宋_GB2312+FPEF"/>
          <w:kern w:val="0"/>
          <w:sz w:val="24"/>
        </w:rPr>
        <w:t>（7）寝室长加</w:t>
      </w:r>
      <w:r>
        <w:rPr>
          <w:rFonts w:hint="eastAsia" w:ascii="宋体" w:hAnsi="宋体" w:cs="仿宋_GB2312+FPEF"/>
          <w:kern w:val="0"/>
          <w:sz w:val="24"/>
          <w:lang w:val="en-US" w:eastAsia="zh-CN"/>
        </w:rPr>
        <w:t>6</w:t>
      </w:r>
      <w:r>
        <w:rPr>
          <w:rFonts w:hint="eastAsia" w:ascii="宋体" w:hAnsi="宋体" w:cs="仿宋_GB2312+FPEF"/>
          <w:kern w:val="0"/>
          <w:sz w:val="24"/>
        </w:rPr>
        <w:t>分</w:t>
      </w:r>
      <w:r>
        <w:rPr>
          <w:rFonts w:hint="eastAsia" w:ascii="宋体" w:hAnsi="宋体" w:cs="仿宋_GB2312+FPEF"/>
          <w:kern w:val="0"/>
          <w:sz w:val="24"/>
          <w:lang w:eastAsia="zh-CN"/>
        </w:rPr>
        <w:t>（</w:t>
      </w:r>
      <w:r>
        <w:rPr>
          <w:rFonts w:hint="eastAsia" w:ascii="宋体" w:hAnsi="宋体" w:cs="仿宋_GB2312+FPEF"/>
          <w:kern w:val="0"/>
          <w:sz w:val="24"/>
          <w:lang w:val="en-US" w:eastAsia="zh-CN"/>
        </w:rPr>
        <w:t>与学生干部任职加分不累计</w:t>
      </w:r>
      <w:r>
        <w:rPr>
          <w:rFonts w:hint="eastAsia" w:ascii="宋体" w:hAnsi="宋体" w:cs="仿宋_GB2312+FPEF"/>
          <w:kern w:val="0"/>
          <w:sz w:val="24"/>
          <w:lang w:eastAsia="zh-CN"/>
        </w:rPr>
        <w:t>）</w:t>
      </w:r>
      <w:r>
        <w:rPr>
          <w:rFonts w:hint="eastAsia" w:ascii="宋体" w:hAnsi="宋体" w:cs="仿宋_GB2312+FPEF"/>
          <w:kern w:val="0"/>
          <w:sz w:val="24"/>
        </w:rPr>
        <w:t>，寝室有违章电器查处不加分。寝室文明检查红榜</w:t>
      </w:r>
      <w:r>
        <w:rPr>
          <w:rFonts w:hint="eastAsia" w:ascii="宋体" w:hAnsi="宋体" w:cs="仿宋_GB2312+FPEF"/>
          <w:kern w:val="0"/>
          <w:sz w:val="24"/>
          <w:lang w:val="en-US" w:eastAsia="zh-CN"/>
        </w:rPr>
        <w:t>每人</w:t>
      </w:r>
      <w:r>
        <w:rPr>
          <w:rFonts w:hint="eastAsia" w:ascii="宋体" w:hAnsi="宋体" w:cs="仿宋_GB2312+FPEF"/>
          <w:kern w:val="0"/>
          <w:sz w:val="24"/>
        </w:rPr>
        <w:t>每次加1分（累计上限1</w:t>
      </w:r>
      <w:r>
        <w:rPr>
          <w:rFonts w:hint="eastAsia" w:ascii="宋体" w:hAnsi="宋体" w:cs="仿宋_GB2312+FPEF"/>
          <w:kern w:val="0"/>
          <w:sz w:val="24"/>
          <w:lang w:val="en-US" w:eastAsia="zh-CN"/>
        </w:rPr>
        <w:t>0</w:t>
      </w:r>
      <w:r>
        <w:rPr>
          <w:rFonts w:hint="eastAsia" w:ascii="宋体" w:hAnsi="宋体" w:cs="仿宋_GB2312+FPEF"/>
          <w:kern w:val="0"/>
          <w:sz w:val="24"/>
        </w:rPr>
        <w:t>分），黑榜</w:t>
      </w:r>
      <w:r>
        <w:rPr>
          <w:rFonts w:hint="eastAsia" w:ascii="宋体" w:hAnsi="宋体" w:cs="仿宋_GB2312+FPEF"/>
          <w:kern w:val="0"/>
          <w:sz w:val="24"/>
          <w:lang w:val="en-US" w:eastAsia="zh-CN"/>
        </w:rPr>
        <w:t>每人</w:t>
      </w:r>
      <w:r>
        <w:rPr>
          <w:rFonts w:hint="eastAsia" w:ascii="宋体" w:hAnsi="宋体" w:cs="仿宋_GB2312+FPEF"/>
          <w:kern w:val="0"/>
          <w:sz w:val="24"/>
        </w:rPr>
        <w:t>每次扣1分</w:t>
      </w:r>
      <w:r>
        <w:rPr>
          <w:rFonts w:hint="eastAsia" w:ascii="宋体" w:hAnsi="宋体" w:cs="仿宋_GB2312+FPEF"/>
          <w:kern w:val="0"/>
          <w:sz w:val="24"/>
          <w:lang w:eastAsia="zh-CN"/>
        </w:rPr>
        <w:t>（</w:t>
      </w:r>
      <w:r>
        <w:rPr>
          <w:rFonts w:hint="eastAsia" w:ascii="宋体" w:hAnsi="宋体" w:cs="仿宋_GB2312+FPEF"/>
          <w:kern w:val="0"/>
          <w:sz w:val="24"/>
          <w:lang w:val="en-US" w:eastAsia="zh-CN"/>
        </w:rPr>
        <w:t>累计下限10分</w:t>
      </w:r>
      <w:r>
        <w:rPr>
          <w:rFonts w:hint="eastAsia" w:ascii="宋体" w:hAnsi="宋体" w:cs="仿宋_GB2312+FPEF"/>
          <w:kern w:val="0"/>
          <w:sz w:val="24"/>
          <w:lang w:eastAsia="zh-CN"/>
        </w:rPr>
        <w:t>）</w:t>
      </w:r>
      <w:r>
        <w:rPr>
          <w:rFonts w:hint="eastAsia" w:ascii="宋体" w:hAnsi="宋体" w:cs="仿宋_GB2312+FPEF"/>
          <w:kern w:val="0"/>
          <w:sz w:val="24"/>
        </w:rPr>
        <w:t>。</w:t>
      </w:r>
    </w:p>
    <w:p>
      <w:pPr>
        <w:autoSpaceDE w:val="0"/>
        <w:autoSpaceDN w:val="0"/>
        <w:adjustRightInd w:val="0"/>
        <w:spacing w:line="440" w:lineRule="exact"/>
        <w:ind w:firstLine="480" w:firstLineChars="200"/>
        <w:jc w:val="left"/>
        <w:rPr>
          <w:rFonts w:ascii="宋体" w:hAnsi="宋体" w:cs="仿宋_GB2312+FPEF"/>
          <w:kern w:val="0"/>
          <w:sz w:val="24"/>
        </w:rPr>
      </w:pPr>
    </w:p>
    <w:p>
      <w:pPr>
        <w:shd w:val="clear" w:color="auto" w:fill="FFFFFF"/>
        <w:tabs>
          <w:tab w:val="right" w:leader="middleDot" w:pos="5880"/>
        </w:tabs>
        <w:snapToGrid w:val="0"/>
        <w:ind w:firstLine="480" w:firstLineChars="200"/>
        <w:rPr>
          <w:rFonts w:ascii="宋体"/>
          <w:sz w:val="24"/>
          <w:szCs w:val="24"/>
        </w:rPr>
      </w:pPr>
      <w:r>
        <w:rPr>
          <w:rFonts w:hint="eastAsia" w:ascii="宋体" w:hAnsi="宋体"/>
          <w:sz w:val="24"/>
          <w:szCs w:val="24"/>
        </w:rPr>
        <w:t>荣誉加分标准参考值：</w:t>
      </w:r>
    </w:p>
    <w:tbl>
      <w:tblPr>
        <w:tblStyle w:val="7"/>
        <w:tblW w:w="79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87"/>
        <w:gridCol w:w="1327"/>
        <w:gridCol w:w="1327"/>
        <w:gridCol w:w="1327"/>
        <w:gridCol w:w="1327"/>
        <w:gridCol w:w="13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287" w:type="dxa"/>
            <w:tcBorders>
              <w:top w:val="single" w:color="auto" w:sz="4" w:space="0"/>
              <w:bottom w:val="single" w:color="auto" w:sz="4" w:space="0"/>
              <w:right w:val="single" w:color="auto" w:sz="4" w:space="0"/>
            </w:tcBorders>
            <w:vAlign w:val="center"/>
          </w:tcPr>
          <w:p>
            <w:pPr>
              <w:pStyle w:val="2"/>
              <w:spacing w:line="240" w:lineRule="auto"/>
              <w:ind w:firstLine="0" w:firstLineChars="0"/>
              <w:jc w:val="center"/>
              <w:rPr>
                <w:rFonts w:ascii="宋体"/>
              </w:rPr>
            </w:pPr>
            <w:r>
              <w:rPr>
                <w:rFonts w:hint="eastAsia" w:ascii="宋体" w:hAnsi="宋体"/>
              </w:rPr>
              <w:t>等级</w:t>
            </w:r>
          </w:p>
        </w:tc>
        <w:tc>
          <w:tcPr>
            <w:tcW w:w="1327"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firstLine="0" w:firstLineChars="0"/>
              <w:jc w:val="center"/>
              <w:rPr>
                <w:rFonts w:ascii="宋体"/>
              </w:rPr>
            </w:pPr>
            <w:r>
              <w:rPr>
                <w:rFonts w:hint="eastAsia" w:ascii="宋体" w:hAnsi="宋体"/>
              </w:rPr>
              <w:t>国家级</w:t>
            </w:r>
          </w:p>
        </w:tc>
        <w:tc>
          <w:tcPr>
            <w:tcW w:w="1327"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firstLine="0" w:firstLineChars="0"/>
              <w:jc w:val="center"/>
              <w:rPr>
                <w:rFonts w:ascii="宋体"/>
              </w:rPr>
            </w:pPr>
            <w:r>
              <w:rPr>
                <w:rFonts w:hint="eastAsia" w:ascii="宋体" w:hAnsi="宋体"/>
              </w:rPr>
              <w:t>省级</w:t>
            </w:r>
          </w:p>
        </w:tc>
        <w:tc>
          <w:tcPr>
            <w:tcW w:w="1327"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firstLine="0" w:firstLineChars="0"/>
              <w:jc w:val="center"/>
              <w:rPr>
                <w:rFonts w:ascii="宋体"/>
              </w:rPr>
            </w:pPr>
            <w:r>
              <w:rPr>
                <w:rFonts w:hint="eastAsia" w:ascii="宋体" w:hAnsi="宋体"/>
              </w:rPr>
              <w:t>市级</w:t>
            </w:r>
          </w:p>
        </w:tc>
        <w:tc>
          <w:tcPr>
            <w:tcW w:w="1327"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firstLine="0" w:firstLineChars="0"/>
              <w:jc w:val="center"/>
              <w:rPr>
                <w:rFonts w:ascii="宋体"/>
              </w:rPr>
            </w:pPr>
            <w:r>
              <w:rPr>
                <w:rFonts w:hint="eastAsia" w:ascii="宋体" w:hAnsi="宋体"/>
              </w:rPr>
              <w:t>校级</w:t>
            </w:r>
          </w:p>
        </w:tc>
        <w:tc>
          <w:tcPr>
            <w:tcW w:w="1327" w:type="dxa"/>
            <w:tcBorders>
              <w:top w:val="single" w:color="auto" w:sz="4" w:space="0"/>
              <w:left w:val="single" w:color="auto" w:sz="4" w:space="0"/>
              <w:bottom w:val="single" w:color="auto" w:sz="4" w:space="0"/>
            </w:tcBorders>
          </w:tcPr>
          <w:p>
            <w:pPr>
              <w:pStyle w:val="2"/>
              <w:spacing w:line="240" w:lineRule="auto"/>
              <w:ind w:firstLine="0" w:firstLineChars="0"/>
              <w:jc w:val="center"/>
              <w:rPr>
                <w:rFonts w:ascii="宋体"/>
              </w:rPr>
            </w:pPr>
            <w:r>
              <w:rPr>
                <w:rFonts w:hint="eastAsia" w:ascii="宋体" w:hAnsi="宋体"/>
              </w:rPr>
              <w:t>院级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87" w:type="dxa"/>
            <w:tcBorders>
              <w:top w:val="single" w:color="auto" w:sz="4" w:space="0"/>
              <w:bottom w:val="single" w:color="auto" w:sz="4" w:space="0"/>
              <w:right w:val="single" w:color="auto" w:sz="4" w:space="0"/>
            </w:tcBorders>
            <w:vAlign w:val="center"/>
          </w:tcPr>
          <w:p>
            <w:pPr>
              <w:pStyle w:val="2"/>
              <w:spacing w:line="240" w:lineRule="auto"/>
              <w:ind w:firstLine="0" w:firstLineChars="0"/>
              <w:jc w:val="center"/>
              <w:rPr>
                <w:rFonts w:ascii="宋体"/>
              </w:rPr>
            </w:pPr>
            <w:r>
              <w:rPr>
                <w:rFonts w:hint="eastAsia" w:ascii="宋体" w:hAnsi="宋体"/>
              </w:rPr>
              <w:t>分值</w:t>
            </w:r>
          </w:p>
        </w:tc>
        <w:tc>
          <w:tcPr>
            <w:tcW w:w="1327"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firstLine="0" w:firstLineChars="0"/>
              <w:jc w:val="center"/>
              <w:rPr>
                <w:rFonts w:ascii="宋体" w:hAnsi="宋体"/>
              </w:rPr>
            </w:pPr>
            <w:r>
              <w:rPr>
                <w:rFonts w:ascii="宋体" w:hAnsi="宋体"/>
              </w:rPr>
              <w:t>20</w:t>
            </w:r>
          </w:p>
        </w:tc>
        <w:tc>
          <w:tcPr>
            <w:tcW w:w="1327"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firstLine="0" w:firstLineChars="0"/>
              <w:jc w:val="center"/>
              <w:rPr>
                <w:rFonts w:ascii="宋体" w:hAnsi="宋体"/>
              </w:rPr>
            </w:pPr>
            <w:r>
              <w:rPr>
                <w:rFonts w:ascii="宋体" w:hAnsi="宋体"/>
              </w:rPr>
              <w:t>15</w:t>
            </w:r>
          </w:p>
        </w:tc>
        <w:tc>
          <w:tcPr>
            <w:tcW w:w="1327"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firstLine="0" w:firstLineChars="0"/>
              <w:jc w:val="center"/>
              <w:rPr>
                <w:rFonts w:ascii="宋体" w:hAnsi="宋体"/>
              </w:rPr>
            </w:pPr>
            <w:r>
              <w:rPr>
                <w:rFonts w:ascii="宋体" w:hAnsi="宋体"/>
              </w:rPr>
              <w:t>12</w:t>
            </w:r>
          </w:p>
        </w:tc>
        <w:tc>
          <w:tcPr>
            <w:tcW w:w="1327"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firstLine="0" w:firstLineChars="0"/>
              <w:jc w:val="center"/>
              <w:rPr>
                <w:rFonts w:ascii="宋体" w:hAnsi="宋体"/>
              </w:rPr>
            </w:pPr>
            <w:r>
              <w:rPr>
                <w:rFonts w:ascii="宋体" w:hAnsi="宋体"/>
              </w:rPr>
              <w:t>8</w:t>
            </w:r>
          </w:p>
        </w:tc>
        <w:tc>
          <w:tcPr>
            <w:tcW w:w="1327" w:type="dxa"/>
            <w:tcBorders>
              <w:top w:val="single" w:color="auto" w:sz="4" w:space="0"/>
              <w:left w:val="single" w:color="auto" w:sz="4" w:space="0"/>
              <w:bottom w:val="single" w:color="auto" w:sz="4" w:space="0"/>
            </w:tcBorders>
          </w:tcPr>
          <w:p>
            <w:pPr>
              <w:pStyle w:val="2"/>
              <w:spacing w:line="240" w:lineRule="auto"/>
              <w:ind w:firstLine="0" w:firstLineChars="0"/>
              <w:jc w:val="center"/>
              <w:rPr>
                <w:rFonts w:ascii="宋体" w:hAnsi="宋体"/>
              </w:rPr>
            </w:pPr>
            <w:r>
              <w:rPr>
                <w:rFonts w:ascii="宋体" w:hAnsi="宋体"/>
              </w:rPr>
              <w:t>5</w:t>
            </w:r>
          </w:p>
        </w:tc>
      </w:tr>
    </w:tbl>
    <w:p>
      <w:pPr>
        <w:shd w:val="clear" w:color="auto" w:fill="FFFFFF"/>
        <w:tabs>
          <w:tab w:val="right" w:leader="middleDot" w:pos="5880"/>
        </w:tabs>
        <w:snapToGrid w:val="0"/>
        <w:spacing w:line="360" w:lineRule="auto"/>
        <w:rPr>
          <w:rFonts w:ascii="宋体"/>
          <w:sz w:val="24"/>
          <w:szCs w:val="24"/>
        </w:rPr>
      </w:pPr>
    </w:p>
    <w:p>
      <w:pPr>
        <w:shd w:val="clear" w:color="auto" w:fill="FFFFFF"/>
        <w:tabs>
          <w:tab w:val="right" w:leader="middleDot" w:pos="5880"/>
        </w:tabs>
        <w:snapToGrid w:val="0"/>
        <w:spacing w:line="360" w:lineRule="auto"/>
        <w:rPr>
          <w:rFonts w:ascii="宋体" w:hAnsi="宋体"/>
          <w:sz w:val="24"/>
          <w:szCs w:val="24"/>
        </w:rPr>
      </w:pPr>
      <w:r>
        <w:rPr>
          <w:rFonts w:hint="eastAsia" w:ascii="宋体" w:hAnsi="宋体"/>
          <w:sz w:val="24"/>
          <w:szCs w:val="24"/>
        </w:rPr>
        <w:t>2.扣分</w:t>
      </w:r>
    </w:p>
    <w:p>
      <w:pPr>
        <w:shd w:val="clear" w:color="auto" w:fill="FFFFFF"/>
        <w:tabs>
          <w:tab w:val="right" w:leader="middleDot" w:pos="5880"/>
        </w:tabs>
        <w:snapToGrid w:val="0"/>
        <w:spacing w:line="360" w:lineRule="auto"/>
        <w:ind w:firstLine="480" w:firstLineChars="200"/>
        <w:rPr>
          <w:rFonts w:ascii="宋体"/>
          <w:sz w:val="24"/>
          <w:szCs w:val="24"/>
        </w:rPr>
      </w:pPr>
      <w:r>
        <w:rPr>
          <w:rFonts w:hint="eastAsia" w:ascii="宋体" w:hAnsi="宋体"/>
          <w:sz w:val="24"/>
          <w:szCs w:val="24"/>
        </w:rPr>
        <w:t>寝室文明：学校或者学院不定期检查，如有违章电器学院通报批评，进入黑榜累计3次学院通报批评。</w:t>
      </w:r>
    </w:p>
    <w:p>
      <w:pPr>
        <w:autoSpaceDE w:val="0"/>
        <w:autoSpaceDN w:val="0"/>
        <w:adjustRightInd w:val="0"/>
        <w:spacing w:line="440" w:lineRule="exact"/>
        <w:ind w:firstLine="480" w:firstLineChars="200"/>
        <w:jc w:val="left"/>
        <w:rPr>
          <w:rFonts w:ascii="宋体" w:hAnsi="宋体" w:cs="仿宋_GB2312+FPEF"/>
          <w:kern w:val="0"/>
          <w:sz w:val="24"/>
        </w:rPr>
      </w:pPr>
      <w:r>
        <w:rPr>
          <w:rFonts w:hint="eastAsia" w:ascii="宋体" w:hAnsi="宋体" w:cs="仿宋_GB2312+FPEF"/>
          <w:kern w:val="0"/>
          <w:sz w:val="24"/>
        </w:rPr>
        <w:t>处分：违反法律、法规和学校规章制度等行为同时纳入记实项目之中。在测评学年受到纪律处分、学校或学院通报批评的研究生，应予以扣分。不同原因受到多次处分者，扣分可累计。</w:t>
      </w:r>
    </w:p>
    <w:p>
      <w:pPr>
        <w:shd w:val="clear" w:color="auto" w:fill="FFFFFF"/>
        <w:tabs>
          <w:tab w:val="right" w:leader="middleDot" w:pos="5880"/>
        </w:tabs>
        <w:snapToGrid w:val="0"/>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纪律处分减分标准参考值</w:t>
      </w:r>
      <w:r>
        <w:rPr>
          <w:rFonts w:hint="eastAsia" w:ascii="宋体" w:hAnsi="宋体"/>
          <w:sz w:val="24"/>
          <w:szCs w:val="24"/>
          <w:lang w:eastAsia="zh-CN"/>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381"/>
        <w:gridCol w:w="1381"/>
        <w:gridCol w:w="1381"/>
        <w:gridCol w:w="1382"/>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381" w:type="dxa"/>
            <w:vAlign w:val="center"/>
          </w:tcPr>
          <w:p>
            <w:pPr>
              <w:pStyle w:val="6"/>
              <w:spacing w:before="0" w:beforeAutospacing="0" w:after="0" w:afterAutospacing="0" w:line="440" w:lineRule="exact"/>
              <w:rPr>
                <w:rFonts w:ascii="Tahoma" w:hAnsi="Tahoma" w:cs="Tahoma"/>
              </w:rPr>
            </w:pPr>
            <w:r>
              <w:rPr>
                <w:rFonts w:hint="eastAsia" w:ascii="Tahoma" w:hAnsi="Tahoma" w:cs="Tahoma"/>
              </w:rPr>
              <w:t>处分类型</w:t>
            </w:r>
          </w:p>
        </w:tc>
        <w:tc>
          <w:tcPr>
            <w:tcW w:w="1381" w:type="dxa"/>
            <w:vAlign w:val="center"/>
          </w:tcPr>
          <w:p>
            <w:pPr>
              <w:pStyle w:val="6"/>
              <w:spacing w:before="0" w:beforeAutospacing="0" w:after="0" w:afterAutospacing="0" w:line="440" w:lineRule="exact"/>
              <w:rPr>
                <w:rFonts w:ascii="Tahoma" w:hAnsi="Tahoma" w:cs="Tahoma"/>
              </w:rPr>
            </w:pPr>
            <w:r>
              <w:rPr>
                <w:rFonts w:hint="eastAsia" w:ascii="Tahoma" w:hAnsi="Tahoma" w:cs="Tahoma"/>
              </w:rPr>
              <w:t>通报批评</w:t>
            </w:r>
          </w:p>
        </w:tc>
        <w:tc>
          <w:tcPr>
            <w:tcW w:w="1381" w:type="dxa"/>
            <w:vAlign w:val="center"/>
          </w:tcPr>
          <w:p>
            <w:pPr>
              <w:pStyle w:val="6"/>
              <w:spacing w:before="0" w:beforeAutospacing="0" w:after="0" w:afterAutospacing="0" w:line="440" w:lineRule="exact"/>
              <w:ind w:firstLine="480" w:firstLineChars="200"/>
              <w:rPr>
                <w:rFonts w:ascii="Tahoma" w:hAnsi="Tahoma" w:cs="Tahoma"/>
              </w:rPr>
            </w:pPr>
            <w:r>
              <w:rPr>
                <w:rFonts w:hint="eastAsia" w:ascii="Tahoma" w:hAnsi="Tahoma" w:cs="Tahoma"/>
              </w:rPr>
              <w:t>警告</w:t>
            </w:r>
          </w:p>
        </w:tc>
        <w:tc>
          <w:tcPr>
            <w:tcW w:w="1381" w:type="dxa"/>
            <w:vAlign w:val="center"/>
          </w:tcPr>
          <w:p>
            <w:pPr>
              <w:pStyle w:val="6"/>
              <w:spacing w:before="0" w:beforeAutospacing="0" w:after="0" w:afterAutospacing="0" w:line="440" w:lineRule="exact"/>
              <w:rPr>
                <w:rFonts w:ascii="Tahoma" w:hAnsi="Tahoma" w:cs="Tahoma"/>
              </w:rPr>
            </w:pPr>
            <w:r>
              <w:rPr>
                <w:rFonts w:hint="eastAsia" w:ascii="Tahoma" w:hAnsi="Tahoma" w:cs="Tahoma"/>
              </w:rPr>
              <w:t>严重警告</w:t>
            </w:r>
          </w:p>
        </w:tc>
        <w:tc>
          <w:tcPr>
            <w:tcW w:w="1382" w:type="dxa"/>
            <w:vAlign w:val="center"/>
          </w:tcPr>
          <w:p>
            <w:pPr>
              <w:pStyle w:val="6"/>
              <w:spacing w:before="0" w:beforeAutospacing="0" w:after="0" w:afterAutospacing="0" w:line="440" w:lineRule="exact"/>
              <w:ind w:firstLine="480" w:firstLineChars="200"/>
              <w:rPr>
                <w:rFonts w:ascii="Tahoma" w:hAnsi="Tahoma" w:cs="Tahoma"/>
              </w:rPr>
            </w:pPr>
            <w:r>
              <w:rPr>
                <w:rFonts w:hint="eastAsia" w:ascii="Tahoma" w:hAnsi="Tahoma" w:cs="Tahoma"/>
              </w:rPr>
              <w:t>记过</w:t>
            </w:r>
          </w:p>
        </w:tc>
        <w:tc>
          <w:tcPr>
            <w:tcW w:w="1382" w:type="dxa"/>
            <w:vAlign w:val="center"/>
          </w:tcPr>
          <w:p>
            <w:pPr>
              <w:pStyle w:val="6"/>
              <w:spacing w:before="0" w:beforeAutospacing="0" w:after="0" w:afterAutospacing="0" w:line="440" w:lineRule="exact"/>
              <w:rPr>
                <w:rFonts w:ascii="Tahoma" w:hAnsi="Tahoma" w:cs="Tahoma"/>
              </w:rPr>
            </w:pPr>
            <w:r>
              <w:rPr>
                <w:rFonts w:hint="eastAsia" w:ascii="Tahoma" w:hAnsi="Tahoma" w:cs="Tahoma"/>
              </w:rPr>
              <w:t>留校察看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381" w:type="dxa"/>
            <w:vAlign w:val="center"/>
          </w:tcPr>
          <w:p>
            <w:pPr>
              <w:pStyle w:val="6"/>
              <w:spacing w:before="0" w:beforeAutospacing="0" w:after="0" w:afterAutospacing="0" w:line="440" w:lineRule="exact"/>
              <w:ind w:firstLine="480" w:firstLineChars="200"/>
              <w:rPr>
                <w:rFonts w:ascii="Tahoma" w:hAnsi="Tahoma" w:cs="Tahoma"/>
              </w:rPr>
            </w:pPr>
            <w:r>
              <w:rPr>
                <w:rFonts w:hint="eastAsia" w:ascii="Tahoma" w:hAnsi="Tahoma" w:cs="Tahoma"/>
              </w:rPr>
              <w:t>扣分</w:t>
            </w:r>
          </w:p>
        </w:tc>
        <w:tc>
          <w:tcPr>
            <w:tcW w:w="1381" w:type="dxa"/>
            <w:vAlign w:val="center"/>
          </w:tcPr>
          <w:p>
            <w:pPr>
              <w:pStyle w:val="6"/>
              <w:spacing w:before="0" w:beforeAutospacing="0" w:after="0" w:afterAutospacing="0" w:line="440" w:lineRule="exact"/>
              <w:ind w:firstLine="480" w:firstLineChars="200"/>
              <w:rPr>
                <w:rFonts w:ascii="Tahoma" w:hAnsi="Tahoma" w:cs="Tahoma"/>
              </w:rPr>
            </w:pPr>
            <w:r>
              <w:rPr>
                <w:rFonts w:hint="eastAsia" w:ascii="Tahoma" w:hAnsi="Tahoma" w:cs="Tahoma"/>
              </w:rPr>
              <w:t>10</w:t>
            </w:r>
          </w:p>
        </w:tc>
        <w:tc>
          <w:tcPr>
            <w:tcW w:w="1381" w:type="dxa"/>
            <w:vAlign w:val="center"/>
          </w:tcPr>
          <w:p>
            <w:pPr>
              <w:pStyle w:val="6"/>
              <w:spacing w:before="0" w:beforeAutospacing="0" w:after="0" w:afterAutospacing="0" w:line="440" w:lineRule="exact"/>
              <w:ind w:firstLine="480" w:firstLineChars="200"/>
              <w:rPr>
                <w:rFonts w:ascii="Tahoma" w:hAnsi="Tahoma" w:cs="Tahoma"/>
              </w:rPr>
            </w:pPr>
            <w:r>
              <w:rPr>
                <w:rFonts w:hint="eastAsia" w:ascii="Tahoma" w:hAnsi="Tahoma" w:cs="Tahoma"/>
              </w:rPr>
              <w:t>30</w:t>
            </w:r>
          </w:p>
        </w:tc>
        <w:tc>
          <w:tcPr>
            <w:tcW w:w="1381" w:type="dxa"/>
            <w:vAlign w:val="center"/>
          </w:tcPr>
          <w:p>
            <w:pPr>
              <w:pStyle w:val="6"/>
              <w:spacing w:before="0" w:beforeAutospacing="0" w:after="0" w:afterAutospacing="0" w:line="440" w:lineRule="exact"/>
              <w:ind w:firstLine="480" w:firstLineChars="200"/>
              <w:rPr>
                <w:rFonts w:ascii="Tahoma" w:hAnsi="Tahoma" w:cs="Tahoma"/>
              </w:rPr>
            </w:pPr>
            <w:r>
              <w:rPr>
                <w:rFonts w:hint="eastAsia" w:ascii="Tahoma" w:hAnsi="Tahoma" w:cs="Tahoma"/>
              </w:rPr>
              <w:t>40</w:t>
            </w:r>
          </w:p>
        </w:tc>
        <w:tc>
          <w:tcPr>
            <w:tcW w:w="1382" w:type="dxa"/>
            <w:vAlign w:val="center"/>
          </w:tcPr>
          <w:p>
            <w:pPr>
              <w:pStyle w:val="6"/>
              <w:spacing w:before="0" w:beforeAutospacing="0" w:after="0" w:afterAutospacing="0" w:line="440" w:lineRule="exact"/>
              <w:ind w:firstLine="480" w:firstLineChars="200"/>
              <w:rPr>
                <w:rFonts w:ascii="Tahoma" w:hAnsi="Tahoma" w:cs="Tahoma"/>
              </w:rPr>
            </w:pPr>
            <w:r>
              <w:rPr>
                <w:rFonts w:hint="eastAsia" w:ascii="Tahoma" w:hAnsi="Tahoma" w:cs="Tahoma"/>
              </w:rPr>
              <w:t>50</w:t>
            </w:r>
          </w:p>
        </w:tc>
        <w:tc>
          <w:tcPr>
            <w:tcW w:w="1382" w:type="dxa"/>
            <w:vAlign w:val="center"/>
          </w:tcPr>
          <w:p>
            <w:pPr>
              <w:pStyle w:val="6"/>
              <w:spacing w:before="0" w:beforeAutospacing="0" w:after="0" w:afterAutospacing="0" w:line="440" w:lineRule="exact"/>
              <w:ind w:firstLine="480" w:firstLineChars="200"/>
              <w:rPr>
                <w:rFonts w:ascii="Tahoma" w:hAnsi="Tahoma" w:cs="Tahoma"/>
              </w:rPr>
            </w:pPr>
            <w:r>
              <w:rPr>
                <w:rFonts w:hint="eastAsia" w:ascii="Tahoma" w:hAnsi="Tahoma" w:cs="Tahoma"/>
              </w:rPr>
              <w:t>60</w:t>
            </w:r>
          </w:p>
        </w:tc>
      </w:tr>
    </w:tbl>
    <w:p>
      <w:pPr>
        <w:pStyle w:val="12"/>
        <w:spacing w:line="360" w:lineRule="auto"/>
        <w:ind w:firstLine="480"/>
        <w:rPr>
          <w:rFonts w:ascii="宋体"/>
          <w:sz w:val="24"/>
          <w:szCs w:val="24"/>
        </w:rPr>
      </w:pPr>
    </w:p>
    <w:p>
      <w:pPr>
        <w:shd w:val="clear" w:color="auto" w:fill="FFFFFF"/>
        <w:tabs>
          <w:tab w:val="right" w:leader="middleDot" w:pos="5880"/>
        </w:tabs>
        <w:snapToGrid w:val="0"/>
        <w:spacing w:line="360" w:lineRule="auto"/>
        <w:ind w:firstLine="480" w:firstLineChars="200"/>
        <w:rPr>
          <w:rFonts w:ascii="宋体"/>
          <w:sz w:val="24"/>
          <w:szCs w:val="24"/>
        </w:rPr>
      </w:pPr>
    </w:p>
    <w:p>
      <w:pPr>
        <w:pStyle w:val="12"/>
        <w:numPr>
          <w:ilvl w:val="0"/>
          <w:numId w:val="1"/>
        </w:numPr>
        <w:spacing w:line="360" w:lineRule="auto"/>
        <w:ind w:firstLineChars="0"/>
        <w:jc w:val="center"/>
        <w:rPr>
          <w:rFonts w:ascii="宋体"/>
          <w:b/>
          <w:sz w:val="24"/>
          <w:szCs w:val="24"/>
        </w:rPr>
      </w:pPr>
      <w:r>
        <w:rPr>
          <w:rFonts w:hint="eastAsia" w:ascii="宋体" w:hAnsi="宋体"/>
          <w:b/>
          <w:sz w:val="24"/>
          <w:szCs w:val="24"/>
        </w:rPr>
        <w:t>智育模块</w:t>
      </w:r>
    </w:p>
    <w:p>
      <w:pPr>
        <w:shd w:val="clear" w:color="auto" w:fill="FFFFFF"/>
        <w:tabs>
          <w:tab w:val="right" w:leader="middleDot" w:pos="5880"/>
        </w:tabs>
        <w:snapToGrid w:val="0"/>
        <w:spacing w:line="360" w:lineRule="auto"/>
        <w:ind w:firstLine="472" w:firstLineChars="196"/>
        <w:rPr>
          <w:rFonts w:ascii="宋体"/>
          <w:sz w:val="24"/>
          <w:szCs w:val="24"/>
        </w:rPr>
      </w:pPr>
      <w:r>
        <w:rPr>
          <w:rFonts w:hint="eastAsia" w:ascii="宋体" w:hAnsi="宋体"/>
          <w:b/>
          <w:sz w:val="24"/>
          <w:szCs w:val="24"/>
        </w:rPr>
        <w:t>第九条</w:t>
      </w:r>
      <w:r>
        <w:rPr>
          <w:rFonts w:hint="eastAsia" w:ascii="宋体" w:hAnsi="宋体"/>
          <w:sz w:val="24"/>
          <w:szCs w:val="24"/>
        </w:rPr>
        <w:t>智育分计算</w:t>
      </w:r>
    </w:p>
    <w:p>
      <w:pPr>
        <w:autoSpaceDE w:val="0"/>
        <w:autoSpaceDN w:val="0"/>
        <w:adjustRightInd w:val="0"/>
        <w:spacing w:line="440" w:lineRule="exact"/>
        <w:ind w:firstLine="480" w:firstLineChars="200"/>
        <w:jc w:val="left"/>
        <w:rPr>
          <w:rFonts w:ascii="宋体" w:hAnsi="宋体" w:cs="仿宋_GB2312+FPEF"/>
          <w:kern w:val="0"/>
          <w:sz w:val="24"/>
        </w:rPr>
      </w:pPr>
      <w:r>
        <w:rPr>
          <w:rFonts w:hint="eastAsia" w:ascii="宋体" w:hAnsi="宋体" w:cs="仿宋_GB2312+FPEF"/>
          <w:kern w:val="0"/>
          <w:sz w:val="24"/>
        </w:rPr>
        <w:t>课业模块分数</w:t>
      </w:r>
      <w:r>
        <w:rPr>
          <w:rFonts w:hint="eastAsia" w:ascii="仿宋_GB2312" w:hAnsi="宋体"/>
          <w:b/>
          <w:sz w:val="28"/>
          <w:szCs w:val="28"/>
        </w:rPr>
        <w:t>S</w:t>
      </w:r>
      <w:r>
        <w:rPr>
          <w:rFonts w:hint="eastAsia" w:ascii="仿宋_GB2312" w:hAnsi="宋体"/>
          <w:b/>
          <w:sz w:val="28"/>
          <w:szCs w:val="28"/>
          <w:vertAlign w:val="subscript"/>
        </w:rPr>
        <w:t>2</w:t>
      </w:r>
      <w:r>
        <w:rPr>
          <w:rFonts w:hint="eastAsia" w:ascii="宋体" w:hAnsi="宋体" w:cs="仿宋_GB2312+FPEF"/>
          <w:kern w:val="0"/>
          <w:sz w:val="24"/>
        </w:rPr>
        <w:t>=学习成绩加权平均分。（说明：上述成绩为原始成绩）</w:t>
      </w:r>
    </w:p>
    <w:p>
      <w:pPr>
        <w:shd w:val="clear" w:color="auto" w:fill="FFFFFF"/>
        <w:tabs>
          <w:tab w:val="right" w:leader="middleDot" w:pos="5880"/>
        </w:tabs>
        <w:snapToGrid w:val="0"/>
        <w:spacing w:line="360" w:lineRule="auto"/>
        <w:ind w:firstLine="480" w:firstLineChars="200"/>
        <w:rPr>
          <w:rFonts w:ascii="宋体"/>
          <w:sz w:val="24"/>
          <w:szCs w:val="24"/>
        </w:rPr>
      </w:pPr>
      <w:r>
        <w:rPr>
          <w:rFonts w:hint="eastAsia" w:ascii="宋体" w:hAnsi="宋体"/>
          <w:sz w:val="24"/>
          <w:szCs w:val="24"/>
        </w:rPr>
        <w:t>说明：上述成绩为原始成绩，由相关研究生教学部门提供。</w:t>
      </w:r>
    </w:p>
    <w:p>
      <w:pPr>
        <w:shd w:val="clear" w:color="auto" w:fill="FFFFFF"/>
        <w:tabs>
          <w:tab w:val="right" w:leader="middleDot" w:pos="5880"/>
        </w:tabs>
        <w:snapToGrid w:val="0"/>
        <w:spacing w:line="360" w:lineRule="auto"/>
        <w:ind w:firstLine="480" w:firstLineChars="200"/>
        <w:rPr>
          <w:rFonts w:ascii="宋体"/>
          <w:sz w:val="24"/>
          <w:szCs w:val="24"/>
        </w:rPr>
      </w:pPr>
    </w:p>
    <w:p>
      <w:pPr>
        <w:pStyle w:val="12"/>
        <w:numPr>
          <w:ilvl w:val="0"/>
          <w:numId w:val="1"/>
        </w:numPr>
        <w:spacing w:line="360" w:lineRule="auto"/>
        <w:ind w:firstLineChars="0"/>
        <w:jc w:val="center"/>
        <w:rPr>
          <w:rFonts w:ascii="宋体"/>
          <w:b/>
          <w:sz w:val="24"/>
          <w:szCs w:val="24"/>
        </w:rPr>
      </w:pPr>
      <w:r>
        <w:rPr>
          <w:rFonts w:hint="eastAsia" w:ascii="宋体" w:hAnsi="宋体"/>
          <w:b/>
          <w:sz w:val="24"/>
          <w:szCs w:val="24"/>
        </w:rPr>
        <w:t>素质拓展模块</w:t>
      </w:r>
    </w:p>
    <w:p>
      <w:pPr>
        <w:autoSpaceDE w:val="0"/>
        <w:autoSpaceDN w:val="0"/>
        <w:adjustRightInd w:val="0"/>
        <w:spacing w:line="440" w:lineRule="exact"/>
        <w:ind w:firstLine="482" w:firstLineChars="200"/>
        <w:jc w:val="left"/>
        <w:rPr>
          <w:rFonts w:ascii="宋体" w:hAnsi="宋体" w:cs="仿宋_GB2312+FPEF"/>
          <w:kern w:val="0"/>
          <w:sz w:val="24"/>
        </w:rPr>
      </w:pPr>
      <w:r>
        <w:rPr>
          <w:rFonts w:hint="eastAsia" w:ascii="宋体" w:hAnsi="宋体" w:cs="仿宋_GB2312+FPEF"/>
          <w:b/>
          <w:kern w:val="0"/>
          <w:sz w:val="24"/>
        </w:rPr>
        <w:t>第十条</w:t>
      </w:r>
      <w:r>
        <w:rPr>
          <w:rFonts w:hint="eastAsia" w:ascii="宋体" w:hAnsi="宋体" w:cs="仿宋_GB2312+FPEF"/>
          <w:kern w:val="0"/>
          <w:sz w:val="24"/>
        </w:rPr>
        <w:t>素质拓展模块重在考察研究生在个性化发展方面的情况，主要包括任职情况，参加创业实践活动、文体活动、国际交流活动以及经研工部认定的校内外挂职等方面的情况。素质拓展模块分数</w:t>
      </w:r>
      <w:r>
        <w:rPr>
          <w:rFonts w:hint="eastAsia" w:ascii="仿宋_GB2312" w:hAnsi="宋体"/>
          <w:b/>
          <w:sz w:val="28"/>
          <w:szCs w:val="28"/>
        </w:rPr>
        <w:t>S</w:t>
      </w:r>
      <w:r>
        <w:rPr>
          <w:rFonts w:hint="eastAsia" w:ascii="仿宋_GB2312" w:hAnsi="宋体"/>
          <w:b/>
          <w:sz w:val="28"/>
          <w:szCs w:val="28"/>
          <w:vertAlign w:val="subscript"/>
        </w:rPr>
        <w:t>3</w:t>
      </w:r>
      <w:r>
        <w:rPr>
          <w:rFonts w:hint="eastAsia" w:ascii="宋体" w:hAnsi="宋体" w:cs="仿宋_GB2312+FPEF"/>
          <w:kern w:val="0"/>
          <w:sz w:val="24"/>
        </w:rPr>
        <w:t>=任职得分+创业活动得分+比赛获奖得分+荣誉表彰得分+国际交流得分，本模块的成绩不设上限。</w:t>
      </w:r>
    </w:p>
    <w:p>
      <w:pPr>
        <w:spacing w:line="440" w:lineRule="exact"/>
        <w:ind w:firstLine="480" w:firstLineChars="200"/>
        <w:rPr>
          <w:rFonts w:ascii="宋体" w:hAnsi="宋体" w:cs="仿宋_GB2312+FPEF"/>
          <w:kern w:val="0"/>
          <w:sz w:val="24"/>
        </w:rPr>
      </w:pPr>
      <w:r>
        <w:rPr>
          <w:rFonts w:hint="eastAsia" w:ascii="宋体" w:hAnsi="宋体" w:cs="仿宋_GB2312+FPEF"/>
          <w:kern w:val="0"/>
          <w:sz w:val="24"/>
        </w:rPr>
        <w:t>（一） 任职类型、计分标准、计分办法</w:t>
      </w:r>
    </w:p>
    <w:p>
      <w:pPr>
        <w:spacing w:line="440" w:lineRule="exact"/>
        <w:ind w:firstLine="480" w:firstLineChars="200"/>
        <w:rPr>
          <w:rFonts w:ascii="宋体" w:hAnsi="宋体" w:cs="仿宋_GB2312+FPEF"/>
          <w:kern w:val="0"/>
          <w:sz w:val="24"/>
        </w:rPr>
      </w:pPr>
      <w:r>
        <w:rPr>
          <w:rFonts w:hint="eastAsia" w:ascii="宋体" w:hAnsi="宋体" w:cs="仿宋_GB2312+FPEF"/>
          <w:kern w:val="0"/>
          <w:sz w:val="24"/>
        </w:rPr>
        <w:t>任职得分=任职岗位分+考核等级分</w:t>
      </w:r>
    </w:p>
    <w:p>
      <w:pPr>
        <w:spacing w:line="360" w:lineRule="auto"/>
        <w:ind w:firstLine="420" w:firstLineChars="200"/>
        <w:rPr>
          <w:rFonts w:ascii="宋体" w:hAnsi="宋体" w:cs="仿宋_GB2312+FPEF"/>
          <w:kern w:val="0"/>
          <w:sz w:val="24"/>
        </w:rPr>
      </w:pPr>
      <w:r>
        <w:rPr>
          <w:rFonts w:hint="eastAsia"/>
        </w:rPr>
        <w:t>1.</w:t>
      </w:r>
      <w:r>
        <w:rPr>
          <w:rFonts w:hint="eastAsia" w:ascii="宋体" w:hAnsi="宋体" w:cs="仿宋_GB2312+FPEF"/>
          <w:kern w:val="0"/>
          <w:sz w:val="24"/>
        </w:rPr>
        <w:t>任职类型</w:t>
      </w:r>
    </w:p>
    <w:p>
      <w:pPr>
        <w:spacing w:line="360" w:lineRule="auto"/>
        <w:ind w:left="479" w:leftChars="228"/>
        <w:rPr>
          <w:rFonts w:ascii="宋体" w:hAnsi="宋体" w:cs="仿宋_GB2312+FPEF"/>
          <w:kern w:val="0"/>
          <w:sz w:val="24"/>
        </w:rPr>
      </w:pPr>
      <w:r>
        <w:rPr>
          <w:rFonts w:hint="eastAsia" w:ascii="宋体" w:hAnsi="宋体" w:cs="仿宋_GB2312+FPEF"/>
          <w:kern w:val="0"/>
          <w:sz w:val="24"/>
        </w:rPr>
        <w:t>一类：校研究生会主席团成员；</w:t>
      </w:r>
      <w:r>
        <w:rPr>
          <w:rFonts w:ascii="宋体" w:hAnsi="宋体" w:cs="仿宋_GB2312+FPEF"/>
          <w:kern w:val="0"/>
          <w:sz w:val="24"/>
        </w:rPr>
        <w:br w:type="textWrapping"/>
      </w:r>
      <w:r>
        <w:rPr>
          <w:rFonts w:hint="eastAsia" w:ascii="宋体" w:hAnsi="宋体" w:cs="仿宋_GB2312+FPEF"/>
          <w:kern w:val="0"/>
          <w:sz w:val="24"/>
        </w:rPr>
        <w:t>二类：校研究生会部长、副部长，院研究生会主席团成员，协会负责人，研工部认定的校内外挂职研究生；</w:t>
      </w:r>
    </w:p>
    <w:p>
      <w:pPr>
        <w:autoSpaceDE w:val="0"/>
        <w:autoSpaceDN w:val="0"/>
        <w:adjustRightInd w:val="0"/>
        <w:spacing w:line="360" w:lineRule="auto"/>
        <w:ind w:firstLine="480" w:firstLineChars="200"/>
        <w:jc w:val="left"/>
        <w:rPr>
          <w:rFonts w:ascii="宋体" w:hAnsi="宋体" w:cs="仿宋_GB2312+FPEF"/>
          <w:kern w:val="0"/>
          <w:sz w:val="24"/>
        </w:rPr>
      </w:pPr>
      <w:r>
        <w:rPr>
          <w:rFonts w:hint="eastAsia" w:ascii="宋体" w:hAnsi="宋体" w:cs="仿宋_GB2312+FPEF"/>
          <w:kern w:val="0"/>
          <w:sz w:val="24"/>
        </w:rPr>
        <w:t>三类：校研究生会干事，院研究生会部长、副部长，班长，党团支部书记，协会部门负责人；</w:t>
      </w:r>
    </w:p>
    <w:p>
      <w:pPr>
        <w:spacing w:line="360" w:lineRule="auto"/>
        <w:ind w:firstLine="480" w:firstLineChars="200"/>
        <w:rPr>
          <w:rFonts w:ascii="宋体" w:hAnsi="宋体" w:cs="仿宋_GB2312+FPEF"/>
          <w:kern w:val="0"/>
          <w:sz w:val="24"/>
        </w:rPr>
      </w:pPr>
      <w:r>
        <w:rPr>
          <w:rFonts w:hint="eastAsia" w:ascii="宋体" w:hAnsi="宋体" w:cs="仿宋_GB2312+FPEF"/>
          <w:kern w:val="0"/>
          <w:sz w:val="24"/>
        </w:rPr>
        <w:t>四类：院研究生会干事，班委，党团支部委员，协会干事。</w:t>
      </w:r>
    </w:p>
    <w:p>
      <w:pPr>
        <w:spacing w:line="440" w:lineRule="exact"/>
        <w:ind w:firstLine="420" w:firstLineChars="200"/>
        <w:rPr>
          <w:rFonts w:ascii="宋体" w:hAnsi="宋体" w:cs="仿宋_GB2312+FPEF"/>
          <w:kern w:val="0"/>
          <w:sz w:val="24"/>
        </w:rPr>
      </w:pPr>
      <w:r>
        <w:rPr>
          <w:rFonts w:hint="eastAsia"/>
        </w:rPr>
        <w:t>2.</w:t>
      </w:r>
      <w:r>
        <w:rPr>
          <w:rFonts w:hint="eastAsia" w:ascii="宋体" w:hAnsi="宋体" w:cs="仿宋_GB2312+FPEF"/>
          <w:kern w:val="0"/>
          <w:sz w:val="24"/>
        </w:rPr>
        <w:t>任职加分明细表</w:t>
      </w:r>
    </w:p>
    <w:p>
      <w:pPr>
        <w:spacing w:line="440" w:lineRule="exact"/>
        <w:ind w:firstLine="480" w:firstLineChars="200"/>
        <w:rPr>
          <w:rFonts w:ascii="宋体" w:hAnsi="宋体" w:cs="仿宋_GB2312+FPEF"/>
          <w:kern w:val="0"/>
          <w:sz w:val="24"/>
        </w:rPr>
      </w:pPr>
      <w:r>
        <w:rPr>
          <w:rFonts w:hint="eastAsia" w:ascii="宋体" w:hAnsi="宋体" w:cs="仿宋_GB2312+FPEF"/>
          <w:kern w:val="0"/>
          <w:sz w:val="24"/>
        </w:rPr>
        <w:t>表格说明：任多项学生干部职务者以最高职务类别计分，学生干部任职半年得分按50%计算，任职不足半年不予计分；考核获得A类等级的比例不得高于30%。</w:t>
      </w:r>
    </w:p>
    <w:tbl>
      <w:tblPr>
        <w:tblStyle w:val="7"/>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1716"/>
        <w:gridCol w:w="1561"/>
        <w:gridCol w:w="1563"/>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922" w:type="dxa"/>
            <w:vMerge w:val="restart"/>
          </w:tcPr>
          <w:p>
            <w:pPr>
              <w:tabs>
                <w:tab w:val="center" w:pos="652"/>
              </w:tabs>
              <w:spacing w:line="440" w:lineRule="exact"/>
              <w:rPr>
                <w:rFonts w:ascii="宋体" w:hAnsi="宋体" w:cs="仿宋_GB2312+FPEF"/>
                <w:kern w:val="0"/>
                <w:szCs w:val="21"/>
              </w:rPr>
            </w:pPr>
            <w:r>
              <w:rPr>
                <w:rFonts w:ascii="宋体" w:hAnsi="宋体" w:cs="仿宋_GB2312+FPEF"/>
                <w:kern w:val="0"/>
                <w:sz w:val="24"/>
              </w:rPr>
              <mc:AlternateContent>
                <mc:Choice Requires="wps">
                  <w:drawing>
                    <wp:anchor distT="0" distB="0" distL="114300" distR="114300" simplePos="0" relativeHeight="251661312" behindDoc="0" locked="0" layoutInCell="1" allowOverlap="1">
                      <wp:simplePos x="0" y="0"/>
                      <wp:positionH relativeFrom="column">
                        <wp:posOffset>40640</wp:posOffset>
                      </wp:positionH>
                      <wp:positionV relativeFrom="paragraph">
                        <wp:posOffset>1270</wp:posOffset>
                      </wp:positionV>
                      <wp:extent cx="1078230" cy="698500"/>
                      <wp:effectExtent l="2540" t="3810" r="5080" b="21590"/>
                      <wp:wrapNone/>
                      <wp:docPr id="2" name="__TH_L90"/>
                      <wp:cNvGraphicFramePr/>
                      <a:graphic xmlns:a="http://schemas.openxmlformats.org/drawingml/2006/main">
                        <a:graphicData uri="http://schemas.microsoft.com/office/word/2010/wordprocessingShape">
                          <wps:wsp>
                            <wps:cNvCnPr>
                              <a:cxnSpLocks noChangeShapeType="1"/>
                            </wps:cNvCnPr>
                            <wps:spPr bwMode="auto">
                              <a:xfrm>
                                <a:off x="0" y="0"/>
                                <a:ext cx="1078230" cy="698500"/>
                              </a:xfrm>
                              <a:prstGeom prst="line">
                                <a:avLst/>
                              </a:prstGeom>
                              <a:noFill/>
                              <a:ln w="6350">
                                <a:solidFill>
                                  <a:srgbClr val="000000"/>
                                </a:solidFill>
                                <a:round/>
                              </a:ln>
                              <a:effectLst/>
                            </wps:spPr>
                            <wps:bodyPr/>
                          </wps:wsp>
                        </a:graphicData>
                      </a:graphic>
                    </wp:anchor>
                  </w:drawing>
                </mc:Choice>
                <mc:Fallback>
                  <w:pict>
                    <v:line id="__TH_L90" o:spid="_x0000_s1026" o:spt="20" style="position:absolute;left:0pt;margin-left:3.2pt;margin-top:0.1pt;height:55pt;width:84.9pt;z-index:251661312;mso-width-relative:page;mso-height-relative:page;" filled="f" stroked="t" coordsize="21600,21600" o:gfxdata="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B0OdNIAAAAGAQAADwAAAAAAAAABACAA&#10;AAAiAAAAZHJzL2Rvd25yZXYueG1sUEsBAhQAFAAAAAgAh07iQAVD3pbaAQAAtAMAAA4AAAAAAAAA&#10;AQAgAAAAIQEAAGRycy9lMm9Eb2MueG1sUEsFBgAAAAAGAAYAWQEAAG0FAAAAAA==&#10;">
                      <v:fill on="f" focussize="0,0"/>
                      <v:stroke weight="0.5pt" color="#000000" joinstyle="round"/>
                      <v:imagedata o:title=""/>
                      <o:lock v:ext="edit" aspectratio="f"/>
                    </v:line>
                  </w:pict>
                </mc:Fallback>
              </mc:AlternateContent>
            </w:r>
            <w:r>
              <w:rPr>
                <w:rFonts w:ascii="宋体" w:hAnsi="宋体" w:cs="仿宋_GB2312+FPEF"/>
                <w:kern w:val="0"/>
                <w:sz w:val="24"/>
              </w:rPr>
              <w:tab/>
            </w:r>
            <w:r>
              <w:rPr>
                <w:rFonts w:hint="eastAsia" w:ascii="宋体" w:hAnsi="宋体" w:cs="仿宋_GB2312+FPEF"/>
                <w:kern w:val="0"/>
                <w:szCs w:val="21"/>
              </w:rPr>
              <w:t xml:space="preserve">任职岗位分  </w:t>
            </w:r>
            <w:r>
              <w:rPr>
                <w:rFonts w:hint="eastAsia" w:ascii="宋体" w:hAnsi="宋体" w:cs="仿宋_GB2312+FPEF"/>
                <w:szCs w:val="21"/>
              </w:rPr>
              <w:t>考核等级分</w:t>
            </w:r>
          </w:p>
        </w:tc>
        <w:tc>
          <w:tcPr>
            <w:tcW w:w="1716" w:type="dxa"/>
            <w:vAlign w:val="center"/>
          </w:tcPr>
          <w:p>
            <w:pPr>
              <w:spacing w:line="440" w:lineRule="exact"/>
              <w:jc w:val="center"/>
              <w:rPr>
                <w:rFonts w:ascii="宋体" w:hAnsi="宋体" w:cs="仿宋_GB2312+FPEF"/>
                <w:kern w:val="0"/>
                <w:sz w:val="24"/>
              </w:rPr>
            </w:pPr>
            <w:r>
              <w:rPr>
                <w:rFonts w:hint="eastAsia" w:ascii="宋体" w:hAnsi="宋体" w:cs="仿宋_GB2312+FPEF"/>
                <w:kern w:val="0"/>
                <w:sz w:val="24"/>
              </w:rPr>
              <w:t>一类</w:t>
            </w:r>
          </w:p>
        </w:tc>
        <w:tc>
          <w:tcPr>
            <w:tcW w:w="1561" w:type="dxa"/>
            <w:vAlign w:val="center"/>
          </w:tcPr>
          <w:p>
            <w:pPr>
              <w:spacing w:line="440" w:lineRule="exact"/>
              <w:jc w:val="center"/>
              <w:rPr>
                <w:rFonts w:ascii="宋体" w:hAnsi="宋体" w:cs="仿宋_GB2312+FPEF"/>
                <w:kern w:val="0"/>
                <w:sz w:val="24"/>
              </w:rPr>
            </w:pPr>
            <w:r>
              <w:rPr>
                <w:rFonts w:hint="eastAsia" w:ascii="宋体" w:hAnsi="宋体" w:cs="仿宋_GB2312+FPEF"/>
                <w:kern w:val="0"/>
                <w:sz w:val="24"/>
              </w:rPr>
              <w:t>二类</w:t>
            </w:r>
          </w:p>
        </w:tc>
        <w:tc>
          <w:tcPr>
            <w:tcW w:w="1563" w:type="dxa"/>
            <w:vAlign w:val="center"/>
          </w:tcPr>
          <w:p>
            <w:pPr>
              <w:spacing w:line="440" w:lineRule="exact"/>
              <w:jc w:val="center"/>
              <w:rPr>
                <w:rFonts w:ascii="宋体" w:hAnsi="宋体" w:cs="仿宋_GB2312+FPEF"/>
                <w:kern w:val="0"/>
                <w:sz w:val="24"/>
              </w:rPr>
            </w:pPr>
            <w:r>
              <w:rPr>
                <w:rFonts w:hint="eastAsia" w:ascii="宋体" w:hAnsi="宋体" w:cs="仿宋_GB2312+FPEF"/>
                <w:kern w:val="0"/>
                <w:sz w:val="24"/>
              </w:rPr>
              <w:t>三类</w:t>
            </w:r>
          </w:p>
        </w:tc>
        <w:tc>
          <w:tcPr>
            <w:tcW w:w="1563" w:type="dxa"/>
            <w:vAlign w:val="center"/>
          </w:tcPr>
          <w:p>
            <w:pPr>
              <w:spacing w:line="440" w:lineRule="exact"/>
              <w:jc w:val="center"/>
              <w:rPr>
                <w:rFonts w:ascii="宋体" w:hAnsi="宋体" w:cs="仿宋_GB2312+FPEF"/>
                <w:kern w:val="0"/>
                <w:sz w:val="24"/>
              </w:rPr>
            </w:pPr>
            <w:r>
              <w:rPr>
                <w:rFonts w:hint="eastAsia" w:ascii="宋体" w:hAnsi="宋体" w:cs="仿宋_GB2312+FPEF"/>
                <w:kern w:val="0"/>
                <w:sz w:val="24"/>
              </w:rPr>
              <w:t>四类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922" w:type="dxa"/>
            <w:vMerge w:val="continue"/>
          </w:tcPr>
          <w:p>
            <w:pPr>
              <w:spacing w:line="440" w:lineRule="exact"/>
              <w:rPr>
                <w:rFonts w:ascii="宋体" w:hAnsi="宋体" w:cs="仿宋_GB2312+FPEF"/>
                <w:kern w:val="0"/>
                <w:sz w:val="24"/>
              </w:rPr>
            </w:pPr>
          </w:p>
        </w:tc>
        <w:tc>
          <w:tcPr>
            <w:tcW w:w="1716" w:type="dxa"/>
            <w:vAlign w:val="center"/>
          </w:tcPr>
          <w:p>
            <w:pPr>
              <w:spacing w:line="440" w:lineRule="exact"/>
              <w:jc w:val="center"/>
              <w:rPr>
                <w:rFonts w:ascii="宋体" w:hAnsi="宋体" w:cs="仿宋_GB2312+FPEF"/>
                <w:kern w:val="0"/>
                <w:sz w:val="24"/>
              </w:rPr>
            </w:pPr>
            <w:r>
              <w:rPr>
                <w:rFonts w:hint="eastAsia" w:ascii="宋体" w:hAnsi="宋体" w:cs="仿宋_GB2312+FPEF"/>
                <w:kern w:val="0"/>
                <w:sz w:val="24"/>
              </w:rPr>
              <w:t>30</w:t>
            </w:r>
          </w:p>
        </w:tc>
        <w:tc>
          <w:tcPr>
            <w:tcW w:w="1561" w:type="dxa"/>
            <w:vAlign w:val="center"/>
          </w:tcPr>
          <w:p>
            <w:pPr>
              <w:spacing w:line="440" w:lineRule="exact"/>
              <w:jc w:val="center"/>
              <w:rPr>
                <w:rFonts w:ascii="宋体" w:hAnsi="宋体" w:cs="仿宋_GB2312+FPEF"/>
                <w:kern w:val="0"/>
                <w:sz w:val="24"/>
              </w:rPr>
            </w:pPr>
            <w:r>
              <w:rPr>
                <w:rFonts w:hint="eastAsia" w:ascii="宋体" w:hAnsi="宋体" w:cs="仿宋_GB2312+FPEF"/>
                <w:kern w:val="0"/>
                <w:sz w:val="24"/>
              </w:rPr>
              <w:t>24</w:t>
            </w:r>
          </w:p>
        </w:tc>
        <w:tc>
          <w:tcPr>
            <w:tcW w:w="1563" w:type="dxa"/>
            <w:vAlign w:val="center"/>
          </w:tcPr>
          <w:p>
            <w:pPr>
              <w:spacing w:line="440" w:lineRule="exact"/>
              <w:jc w:val="center"/>
              <w:rPr>
                <w:rFonts w:ascii="宋体" w:hAnsi="宋体" w:cs="仿宋_GB2312+FPEF"/>
                <w:kern w:val="0"/>
                <w:sz w:val="24"/>
              </w:rPr>
            </w:pPr>
            <w:r>
              <w:rPr>
                <w:rFonts w:hint="eastAsia" w:ascii="宋体" w:hAnsi="宋体" w:cs="仿宋_GB2312+FPEF"/>
                <w:kern w:val="0"/>
                <w:sz w:val="24"/>
              </w:rPr>
              <w:t>16</w:t>
            </w:r>
          </w:p>
        </w:tc>
        <w:tc>
          <w:tcPr>
            <w:tcW w:w="1563" w:type="dxa"/>
            <w:vAlign w:val="center"/>
          </w:tcPr>
          <w:p>
            <w:pPr>
              <w:spacing w:line="440" w:lineRule="exact"/>
              <w:jc w:val="center"/>
              <w:rPr>
                <w:rFonts w:ascii="宋体" w:hAnsi="宋体" w:cs="仿宋_GB2312+FPEF"/>
                <w:kern w:val="0"/>
                <w:sz w:val="24"/>
              </w:rPr>
            </w:pPr>
            <w:r>
              <w:rPr>
                <w:rFonts w:hint="eastAsia" w:ascii="宋体" w:hAnsi="宋体" w:cs="仿宋_GB2312+FPEF"/>
                <w:kern w:val="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922" w:type="dxa"/>
            <w:vAlign w:val="center"/>
          </w:tcPr>
          <w:p>
            <w:pPr>
              <w:spacing w:line="440" w:lineRule="exact"/>
              <w:jc w:val="center"/>
              <w:rPr>
                <w:rFonts w:ascii="宋体" w:hAnsi="宋体" w:cs="仿宋_GB2312+FPEF"/>
                <w:kern w:val="0"/>
                <w:sz w:val="24"/>
              </w:rPr>
            </w:pPr>
            <w:r>
              <w:rPr>
                <w:rFonts w:hint="eastAsia" w:ascii="宋体" w:hAnsi="宋体" w:cs="仿宋_GB2312+FPEF"/>
                <w:kern w:val="0"/>
                <w:sz w:val="24"/>
              </w:rPr>
              <w:t>A</w:t>
            </w:r>
          </w:p>
        </w:tc>
        <w:tc>
          <w:tcPr>
            <w:tcW w:w="1716" w:type="dxa"/>
            <w:vAlign w:val="center"/>
          </w:tcPr>
          <w:p>
            <w:pPr>
              <w:spacing w:line="440" w:lineRule="exact"/>
              <w:jc w:val="center"/>
              <w:rPr>
                <w:rFonts w:ascii="宋体" w:hAnsi="宋体" w:cs="仿宋_GB2312+FPEF"/>
                <w:kern w:val="0"/>
                <w:sz w:val="24"/>
              </w:rPr>
            </w:pPr>
            <w:r>
              <w:rPr>
                <w:rFonts w:hint="eastAsia" w:ascii="宋体" w:hAnsi="宋体" w:cs="仿宋_GB2312+FPEF"/>
                <w:kern w:val="0"/>
                <w:sz w:val="24"/>
              </w:rPr>
              <w:t>+30</w:t>
            </w:r>
          </w:p>
        </w:tc>
        <w:tc>
          <w:tcPr>
            <w:tcW w:w="1561" w:type="dxa"/>
            <w:vAlign w:val="center"/>
          </w:tcPr>
          <w:p>
            <w:pPr>
              <w:spacing w:line="440" w:lineRule="exact"/>
              <w:jc w:val="center"/>
              <w:rPr>
                <w:rFonts w:ascii="宋体" w:hAnsi="宋体" w:cs="仿宋_GB2312+FPEF"/>
                <w:kern w:val="0"/>
                <w:sz w:val="24"/>
              </w:rPr>
            </w:pPr>
            <w:r>
              <w:rPr>
                <w:rFonts w:hint="eastAsia" w:ascii="宋体" w:hAnsi="宋体" w:cs="仿宋_GB2312+FPEF"/>
                <w:kern w:val="0"/>
                <w:sz w:val="24"/>
              </w:rPr>
              <w:t>+24</w:t>
            </w:r>
          </w:p>
        </w:tc>
        <w:tc>
          <w:tcPr>
            <w:tcW w:w="1563" w:type="dxa"/>
            <w:vAlign w:val="center"/>
          </w:tcPr>
          <w:p>
            <w:pPr>
              <w:spacing w:line="440" w:lineRule="exact"/>
              <w:jc w:val="center"/>
              <w:rPr>
                <w:rFonts w:ascii="宋体" w:hAnsi="宋体" w:cs="仿宋_GB2312+FPEF"/>
                <w:kern w:val="0"/>
                <w:sz w:val="24"/>
              </w:rPr>
            </w:pPr>
            <w:r>
              <w:rPr>
                <w:rFonts w:hint="eastAsia" w:ascii="宋体" w:hAnsi="宋体" w:cs="仿宋_GB2312+FPEF"/>
                <w:kern w:val="0"/>
                <w:sz w:val="24"/>
              </w:rPr>
              <w:t>+16</w:t>
            </w:r>
          </w:p>
        </w:tc>
        <w:tc>
          <w:tcPr>
            <w:tcW w:w="1563" w:type="dxa"/>
            <w:vAlign w:val="center"/>
          </w:tcPr>
          <w:p>
            <w:pPr>
              <w:spacing w:line="440" w:lineRule="exact"/>
              <w:jc w:val="center"/>
              <w:rPr>
                <w:rFonts w:ascii="宋体" w:hAnsi="宋体" w:cs="仿宋_GB2312+FPEF"/>
                <w:kern w:val="0"/>
                <w:sz w:val="24"/>
              </w:rPr>
            </w:pPr>
            <w:r>
              <w:rPr>
                <w:rFonts w:hint="eastAsia" w:ascii="宋体" w:hAnsi="宋体" w:cs="仿宋_GB2312+FPEF"/>
                <w:kern w:val="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922" w:type="dxa"/>
            <w:vAlign w:val="center"/>
          </w:tcPr>
          <w:p>
            <w:pPr>
              <w:spacing w:line="440" w:lineRule="exact"/>
              <w:jc w:val="center"/>
              <w:rPr>
                <w:rFonts w:ascii="宋体" w:hAnsi="宋体" w:cs="仿宋_GB2312+FPEF"/>
                <w:kern w:val="0"/>
                <w:sz w:val="24"/>
              </w:rPr>
            </w:pPr>
            <w:r>
              <w:rPr>
                <w:rFonts w:hint="eastAsia" w:ascii="宋体" w:hAnsi="宋体" w:cs="仿宋_GB2312+FPEF"/>
                <w:kern w:val="0"/>
                <w:sz w:val="24"/>
              </w:rPr>
              <w:t>B</w:t>
            </w:r>
          </w:p>
        </w:tc>
        <w:tc>
          <w:tcPr>
            <w:tcW w:w="1716" w:type="dxa"/>
            <w:vAlign w:val="center"/>
          </w:tcPr>
          <w:p>
            <w:pPr>
              <w:spacing w:line="440" w:lineRule="exact"/>
              <w:jc w:val="center"/>
              <w:rPr>
                <w:rFonts w:ascii="宋体" w:hAnsi="宋体" w:cs="仿宋_GB2312+FPEF"/>
                <w:kern w:val="0"/>
                <w:sz w:val="24"/>
              </w:rPr>
            </w:pPr>
            <w:r>
              <w:rPr>
                <w:rFonts w:hint="eastAsia" w:ascii="宋体" w:hAnsi="宋体" w:cs="仿宋_GB2312+FPEF"/>
                <w:kern w:val="0"/>
                <w:sz w:val="24"/>
              </w:rPr>
              <w:t>0</w:t>
            </w:r>
          </w:p>
        </w:tc>
        <w:tc>
          <w:tcPr>
            <w:tcW w:w="1561" w:type="dxa"/>
            <w:vAlign w:val="center"/>
          </w:tcPr>
          <w:p>
            <w:pPr>
              <w:spacing w:line="440" w:lineRule="exact"/>
              <w:jc w:val="center"/>
              <w:rPr>
                <w:rFonts w:ascii="宋体" w:hAnsi="宋体" w:cs="仿宋_GB2312+FPEF"/>
                <w:kern w:val="0"/>
                <w:sz w:val="24"/>
              </w:rPr>
            </w:pPr>
            <w:r>
              <w:rPr>
                <w:rFonts w:hint="eastAsia" w:ascii="宋体" w:hAnsi="宋体" w:cs="仿宋_GB2312+FPEF"/>
                <w:kern w:val="0"/>
                <w:sz w:val="24"/>
              </w:rPr>
              <w:t>0</w:t>
            </w:r>
          </w:p>
        </w:tc>
        <w:tc>
          <w:tcPr>
            <w:tcW w:w="1563" w:type="dxa"/>
            <w:vAlign w:val="center"/>
          </w:tcPr>
          <w:p>
            <w:pPr>
              <w:spacing w:line="440" w:lineRule="exact"/>
              <w:jc w:val="center"/>
              <w:rPr>
                <w:rFonts w:ascii="宋体" w:hAnsi="宋体" w:cs="仿宋_GB2312+FPEF"/>
                <w:kern w:val="0"/>
                <w:sz w:val="24"/>
              </w:rPr>
            </w:pPr>
            <w:r>
              <w:rPr>
                <w:rFonts w:hint="eastAsia" w:ascii="宋体" w:hAnsi="宋体" w:cs="仿宋_GB2312+FPEF"/>
                <w:kern w:val="0"/>
                <w:sz w:val="24"/>
              </w:rPr>
              <w:t>0</w:t>
            </w:r>
          </w:p>
        </w:tc>
        <w:tc>
          <w:tcPr>
            <w:tcW w:w="1563" w:type="dxa"/>
            <w:vAlign w:val="center"/>
          </w:tcPr>
          <w:p>
            <w:pPr>
              <w:spacing w:line="440" w:lineRule="exact"/>
              <w:jc w:val="center"/>
              <w:rPr>
                <w:rFonts w:ascii="宋体" w:hAnsi="宋体" w:cs="仿宋_GB2312+FPEF"/>
                <w:kern w:val="0"/>
                <w:sz w:val="24"/>
              </w:rPr>
            </w:pPr>
            <w:r>
              <w:rPr>
                <w:rFonts w:hint="eastAsia" w:ascii="宋体" w:hAnsi="宋体" w:cs="仿宋_GB2312+FPEF"/>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922" w:type="dxa"/>
            <w:vAlign w:val="center"/>
          </w:tcPr>
          <w:p>
            <w:pPr>
              <w:spacing w:line="440" w:lineRule="exact"/>
              <w:jc w:val="center"/>
              <w:rPr>
                <w:rFonts w:ascii="宋体" w:hAnsi="宋体" w:cs="仿宋_GB2312+FPEF"/>
                <w:kern w:val="0"/>
                <w:sz w:val="24"/>
              </w:rPr>
            </w:pPr>
            <w:r>
              <w:rPr>
                <w:rFonts w:hint="eastAsia" w:ascii="宋体" w:hAnsi="宋体" w:cs="仿宋_GB2312+FPEF"/>
                <w:kern w:val="0"/>
                <w:sz w:val="24"/>
              </w:rPr>
              <w:t>C</w:t>
            </w:r>
          </w:p>
        </w:tc>
        <w:tc>
          <w:tcPr>
            <w:tcW w:w="1716" w:type="dxa"/>
            <w:vAlign w:val="center"/>
          </w:tcPr>
          <w:p>
            <w:pPr>
              <w:spacing w:line="440" w:lineRule="exact"/>
              <w:jc w:val="center"/>
              <w:rPr>
                <w:rFonts w:ascii="宋体" w:hAnsi="宋体" w:cs="仿宋_GB2312+FPEF"/>
                <w:kern w:val="0"/>
                <w:sz w:val="24"/>
              </w:rPr>
            </w:pPr>
            <w:r>
              <w:rPr>
                <w:rFonts w:hint="eastAsia" w:ascii="宋体" w:hAnsi="宋体" w:cs="仿宋_GB2312+FPEF"/>
                <w:kern w:val="0"/>
                <w:sz w:val="24"/>
              </w:rPr>
              <w:t>-30</w:t>
            </w:r>
          </w:p>
        </w:tc>
        <w:tc>
          <w:tcPr>
            <w:tcW w:w="1561" w:type="dxa"/>
            <w:vAlign w:val="center"/>
          </w:tcPr>
          <w:p>
            <w:pPr>
              <w:spacing w:line="440" w:lineRule="exact"/>
              <w:jc w:val="center"/>
              <w:rPr>
                <w:rFonts w:ascii="宋体" w:hAnsi="宋体" w:cs="仿宋_GB2312+FPEF"/>
                <w:kern w:val="0"/>
                <w:sz w:val="24"/>
              </w:rPr>
            </w:pPr>
            <w:r>
              <w:rPr>
                <w:rFonts w:hint="eastAsia" w:ascii="宋体" w:hAnsi="宋体" w:cs="仿宋_GB2312+FPEF"/>
                <w:kern w:val="0"/>
                <w:sz w:val="24"/>
              </w:rPr>
              <w:t>-24</w:t>
            </w:r>
          </w:p>
        </w:tc>
        <w:tc>
          <w:tcPr>
            <w:tcW w:w="1563" w:type="dxa"/>
            <w:vAlign w:val="center"/>
          </w:tcPr>
          <w:p>
            <w:pPr>
              <w:spacing w:line="440" w:lineRule="exact"/>
              <w:jc w:val="center"/>
              <w:rPr>
                <w:rFonts w:ascii="宋体" w:hAnsi="宋体" w:cs="仿宋_GB2312+FPEF"/>
                <w:kern w:val="0"/>
                <w:sz w:val="24"/>
              </w:rPr>
            </w:pPr>
            <w:r>
              <w:rPr>
                <w:rFonts w:hint="eastAsia" w:ascii="宋体" w:hAnsi="宋体" w:cs="仿宋_GB2312+FPEF"/>
                <w:kern w:val="0"/>
                <w:sz w:val="24"/>
              </w:rPr>
              <w:t>-16</w:t>
            </w:r>
          </w:p>
        </w:tc>
        <w:tc>
          <w:tcPr>
            <w:tcW w:w="1563" w:type="dxa"/>
            <w:vAlign w:val="center"/>
          </w:tcPr>
          <w:p>
            <w:pPr>
              <w:spacing w:line="440" w:lineRule="exact"/>
              <w:jc w:val="center"/>
              <w:rPr>
                <w:rFonts w:ascii="宋体" w:hAnsi="宋体" w:cs="仿宋_GB2312+FPEF"/>
                <w:kern w:val="0"/>
                <w:sz w:val="24"/>
              </w:rPr>
            </w:pPr>
            <w:r>
              <w:rPr>
                <w:rFonts w:hint="eastAsia" w:ascii="宋体" w:hAnsi="宋体" w:cs="仿宋_GB2312+FPEF"/>
                <w:kern w:val="0"/>
                <w:sz w:val="24"/>
              </w:rPr>
              <w:t>-8</w:t>
            </w:r>
          </w:p>
        </w:tc>
      </w:tr>
    </w:tbl>
    <w:p>
      <w:pPr>
        <w:autoSpaceDE w:val="0"/>
        <w:autoSpaceDN w:val="0"/>
        <w:adjustRightInd w:val="0"/>
        <w:spacing w:line="440" w:lineRule="exact"/>
        <w:ind w:firstLine="480" w:firstLineChars="200"/>
        <w:jc w:val="left"/>
        <w:rPr>
          <w:rFonts w:ascii="宋体" w:hAnsi="宋体" w:cs="仿宋_GB2312+FPEF"/>
          <w:kern w:val="0"/>
          <w:sz w:val="24"/>
        </w:rPr>
      </w:pPr>
    </w:p>
    <w:p>
      <w:pPr>
        <w:autoSpaceDE w:val="0"/>
        <w:autoSpaceDN w:val="0"/>
        <w:adjustRightInd w:val="0"/>
        <w:spacing w:line="440" w:lineRule="exact"/>
        <w:ind w:firstLine="480" w:firstLineChars="200"/>
        <w:jc w:val="left"/>
        <w:rPr>
          <w:rFonts w:ascii="宋体" w:hAnsi="宋体" w:cs="仿宋_GB2312+FPEF"/>
          <w:kern w:val="0"/>
          <w:sz w:val="24"/>
        </w:rPr>
      </w:pPr>
      <w:r>
        <w:rPr>
          <w:rFonts w:hint="eastAsia" w:ascii="宋体" w:hAnsi="宋体" w:cs="仿宋_GB2312+FPEF"/>
          <w:kern w:val="0"/>
          <w:sz w:val="24"/>
        </w:rPr>
        <w:t>（二）创业活动计分办法与标准</w:t>
      </w:r>
    </w:p>
    <w:p>
      <w:pPr>
        <w:autoSpaceDE w:val="0"/>
        <w:autoSpaceDN w:val="0"/>
        <w:adjustRightInd w:val="0"/>
        <w:spacing w:line="440" w:lineRule="exact"/>
        <w:ind w:firstLine="465"/>
        <w:jc w:val="left"/>
        <w:rPr>
          <w:rFonts w:ascii="宋体" w:hAnsi="宋体" w:cs="仿宋_GB2312+FPEF"/>
          <w:kern w:val="0"/>
          <w:sz w:val="24"/>
        </w:rPr>
      </w:pPr>
      <w:r>
        <w:rPr>
          <w:rFonts w:hint="eastAsia" w:ascii="宋体" w:hAnsi="宋体" w:cs="仿宋_GB2312+FPEF"/>
          <w:kern w:val="0"/>
          <w:sz w:val="24"/>
        </w:rPr>
        <w:t>研究生在校期间开展创业活动，凭测评学年内办理的营业执照或纳税证明予以计分。在测评学年在工商部门注册公司并取得营业执照者，计15分；在测评学年所公司纳税额0.5至2万元人民币，计10分，纳税额2至5万元人民币计15分，5至10万元人民币计20分，10至20万元人民币计25分，20-50万元人民币计30分，50万元人民币以上计35分。若为多人共同创业，则有多人平均分配相应分值。</w:t>
      </w:r>
    </w:p>
    <w:p>
      <w:pPr>
        <w:autoSpaceDE w:val="0"/>
        <w:autoSpaceDN w:val="0"/>
        <w:adjustRightInd w:val="0"/>
        <w:spacing w:line="440" w:lineRule="exact"/>
        <w:ind w:firstLine="480" w:firstLineChars="200"/>
        <w:jc w:val="left"/>
        <w:rPr>
          <w:rFonts w:ascii="宋体" w:hAnsi="宋体" w:cs="仿宋_GB2312+FPEF"/>
          <w:kern w:val="0"/>
          <w:sz w:val="24"/>
        </w:rPr>
      </w:pPr>
      <w:r>
        <w:rPr>
          <w:rFonts w:hint="eastAsia" w:ascii="宋体" w:hAnsi="宋体" w:cs="仿宋_GB2312+FPEF"/>
          <w:kern w:val="0"/>
          <w:sz w:val="24"/>
        </w:rPr>
        <w:t>（三）比赛获奖计分办法与标准</w:t>
      </w:r>
    </w:p>
    <w:p>
      <w:pPr>
        <w:autoSpaceDE w:val="0"/>
        <w:autoSpaceDN w:val="0"/>
        <w:adjustRightInd w:val="0"/>
        <w:spacing w:line="440" w:lineRule="exact"/>
        <w:ind w:firstLine="465"/>
        <w:jc w:val="left"/>
        <w:rPr>
          <w:rFonts w:ascii="宋体" w:hAnsi="宋体" w:cs="仿宋_GB2312+FPEF"/>
          <w:kern w:val="0"/>
          <w:sz w:val="24"/>
        </w:rPr>
      </w:pPr>
      <w:r>
        <w:rPr>
          <w:rFonts w:hint="eastAsia" w:ascii="宋体" w:hAnsi="宋体" w:cs="仿宋_GB2312+FPEF"/>
          <w:kern w:val="0"/>
          <w:sz w:val="24"/>
        </w:rPr>
        <w:t>测评年度内在市级（含）以上层次政府部门举办的文体比赛、各类技能竞赛、创业计划竞赛等赛事中获得奖励，按以下标准计分。团队项目获奖，核心成员权重系数最高为0.8，一般成员权重系数最高为0.5，不分先后则均分为0.6，核心成员人数一般不超过20%。</w:t>
      </w:r>
    </w:p>
    <w:tbl>
      <w:tblPr>
        <w:tblStyle w:val="7"/>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9"/>
        <w:gridCol w:w="2265"/>
        <w:gridCol w:w="2520"/>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639" w:type="dxa"/>
            <w:vAlign w:val="center"/>
          </w:tcPr>
          <w:p>
            <w:pPr>
              <w:autoSpaceDE w:val="0"/>
              <w:autoSpaceDN w:val="0"/>
              <w:adjustRightInd w:val="0"/>
              <w:spacing w:line="440" w:lineRule="exact"/>
              <w:jc w:val="center"/>
              <w:rPr>
                <w:rFonts w:ascii="宋体" w:hAnsi="宋体" w:cs="仿宋_GB2312+FPEF"/>
                <w:kern w:val="0"/>
                <w:sz w:val="24"/>
              </w:rPr>
            </w:pPr>
            <w:r>
              <w:rPr>
                <w:rFonts w:ascii="宋体" w:hAnsi="宋体" w:cs="仿宋_GB2312+FPEF"/>
                <w:kern w:val="0"/>
                <w:sz w:val="24"/>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33655</wp:posOffset>
                      </wp:positionV>
                      <wp:extent cx="873760" cy="455930"/>
                      <wp:effectExtent l="1905" t="4445" r="19685" b="15875"/>
                      <wp:wrapNone/>
                      <wp:docPr id="1" name="Line 7"/>
                      <wp:cNvGraphicFramePr/>
                      <a:graphic xmlns:a="http://schemas.openxmlformats.org/drawingml/2006/main">
                        <a:graphicData uri="http://schemas.microsoft.com/office/word/2010/wordprocessingShape">
                          <wps:wsp>
                            <wps:cNvCnPr>
                              <a:cxnSpLocks noChangeShapeType="1"/>
                            </wps:cNvCnPr>
                            <wps:spPr bwMode="auto">
                              <a:xfrm>
                                <a:off x="0" y="0"/>
                                <a:ext cx="873760" cy="455930"/>
                              </a:xfrm>
                              <a:prstGeom prst="line">
                                <a:avLst/>
                              </a:prstGeom>
                              <a:noFill/>
                              <a:ln w="6350">
                                <a:solidFill>
                                  <a:srgbClr val="000000"/>
                                </a:solidFill>
                                <a:round/>
                              </a:ln>
                              <a:effectLst/>
                            </wps:spPr>
                            <wps:bodyPr/>
                          </wps:wsp>
                        </a:graphicData>
                      </a:graphic>
                    </wp:anchor>
                  </w:drawing>
                </mc:Choice>
                <mc:Fallback>
                  <w:pict>
                    <v:line id="Line 7" o:spid="_x0000_s1026" o:spt="20" style="position:absolute;left:0pt;margin-left:-0.1pt;margin-top:2.65pt;height:35.9pt;width:68.8pt;z-index:251660288;mso-width-relative:page;mso-height-relative:page;" filled="f" stroked="t" coordsize="21600,21600" o:gfxdata="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NjBvHTAAAABgEAAA8AAAAAAAAAAQAgAAAAIgAA&#10;AGRycy9kb3ducmV2LnhtbFBLAQIUABQAAAAIAIdO4kAOW+7j1AEAALEDAAAOAAAAAAAAAAEAIAAA&#10;ACIBAABkcnMvZTJvRG9jLnhtbFBLBQYAAAAABgAGAFkBAABoBQAAAAA=&#10;">
                      <v:fill on="f" focussize="0,0"/>
                      <v:stroke weight="0.5pt" color="#000000" joinstyle="round"/>
                      <v:imagedata o:title=""/>
                      <o:lock v:ext="edit" aspectratio="f"/>
                    </v:line>
                  </w:pict>
                </mc:Fallback>
              </mc:AlternateContent>
            </w:r>
            <w:r>
              <w:rPr>
                <w:rFonts w:hint="eastAsia" w:ascii="宋体" w:hAnsi="宋体" w:cs="仿宋_GB2312+FPEF"/>
                <w:kern w:val="0"/>
                <w:sz w:val="24"/>
              </w:rPr>
              <w:t>名次</w:t>
            </w:r>
          </w:p>
          <w:p>
            <w:pPr>
              <w:spacing w:line="440" w:lineRule="exact"/>
              <w:rPr>
                <w:rFonts w:ascii="宋体" w:hAnsi="宋体" w:cs="仿宋_GB2312+FPEF"/>
                <w:sz w:val="24"/>
              </w:rPr>
            </w:pPr>
            <w:r>
              <w:rPr>
                <w:rFonts w:hint="eastAsia" w:ascii="宋体" w:hAnsi="宋体" w:cs="仿宋_GB2312+FPEF"/>
                <w:kern w:val="0"/>
                <w:sz w:val="24"/>
              </w:rPr>
              <w:t>类别</w:t>
            </w:r>
          </w:p>
        </w:tc>
        <w:tc>
          <w:tcPr>
            <w:tcW w:w="2265" w:type="dxa"/>
            <w:vAlign w:val="center"/>
          </w:tcPr>
          <w:p>
            <w:pPr>
              <w:autoSpaceDE w:val="0"/>
              <w:autoSpaceDN w:val="0"/>
              <w:adjustRightInd w:val="0"/>
              <w:spacing w:line="440" w:lineRule="exact"/>
              <w:jc w:val="center"/>
              <w:rPr>
                <w:rFonts w:ascii="宋体" w:hAnsi="宋体" w:cs="仿宋_GB2312+FPEF"/>
                <w:kern w:val="0"/>
                <w:sz w:val="24"/>
              </w:rPr>
            </w:pPr>
            <w:r>
              <w:rPr>
                <w:rFonts w:hint="eastAsia" w:ascii="宋体" w:hAnsi="宋体" w:cs="仿宋_GB2312+FPEF"/>
                <w:kern w:val="0"/>
                <w:sz w:val="24"/>
              </w:rPr>
              <w:t>一等奖及以上</w:t>
            </w:r>
          </w:p>
        </w:tc>
        <w:tc>
          <w:tcPr>
            <w:tcW w:w="2520" w:type="dxa"/>
            <w:vAlign w:val="center"/>
          </w:tcPr>
          <w:p>
            <w:pPr>
              <w:autoSpaceDE w:val="0"/>
              <w:autoSpaceDN w:val="0"/>
              <w:adjustRightInd w:val="0"/>
              <w:spacing w:line="440" w:lineRule="exact"/>
              <w:jc w:val="center"/>
              <w:rPr>
                <w:rFonts w:ascii="宋体" w:hAnsi="宋体" w:cs="仿宋_GB2312+FPEF"/>
                <w:kern w:val="0"/>
                <w:sz w:val="24"/>
              </w:rPr>
            </w:pPr>
            <w:r>
              <w:rPr>
                <w:rFonts w:hint="eastAsia" w:ascii="宋体" w:hAnsi="宋体" w:cs="仿宋_GB2312+FPEF"/>
                <w:kern w:val="0"/>
                <w:sz w:val="24"/>
              </w:rPr>
              <w:t>二等奖</w:t>
            </w:r>
          </w:p>
        </w:tc>
        <w:tc>
          <w:tcPr>
            <w:tcW w:w="2521" w:type="dxa"/>
            <w:vAlign w:val="center"/>
          </w:tcPr>
          <w:p>
            <w:pPr>
              <w:autoSpaceDE w:val="0"/>
              <w:autoSpaceDN w:val="0"/>
              <w:adjustRightInd w:val="0"/>
              <w:spacing w:line="440" w:lineRule="exact"/>
              <w:jc w:val="center"/>
              <w:rPr>
                <w:rFonts w:ascii="宋体" w:hAnsi="宋体" w:cs="仿宋_GB2312+FPEF"/>
                <w:kern w:val="0"/>
                <w:sz w:val="24"/>
              </w:rPr>
            </w:pPr>
            <w:r>
              <w:rPr>
                <w:rFonts w:hint="eastAsia" w:ascii="宋体" w:hAnsi="宋体" w:cs="仿宋_GB2312+FPEF"/>
                <w:kern w:val="0"/>
                <w:sz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639" w:type="dxa"/>
            <w:vAlign w:val="center"/>
          </w:tcPr>
          <w:p>
            <w:pPr>
              <w:autoSpaceDE w:val="0"/>
              <w:autoSpaceDN w:val="0"/>
              <w:adjustRightInd w:val="0"/>
              <w:spacing w:line="440" w:lineRule="exact"/>
              <w:jc w:val="center"/>
              <w:rPr>
                <w:rFonts w:ascii="宋体" w:hAnsi="宋体" w:cs="仿宋_GB2312+FPEF"/>
                <w:kern w:val="0"/>
                <w:sz w:val="24"/>
              </w:rPr>
            </w:pPr>
            <w:r>
              <w:rPr>
                <w:rFonts w:hint="eastAsia" w:ascii="宋体" w:hAnsi="宋体" w:cs="仿宋_GB2312+FPEF"/>
                <w:kern w:val="0"/>
                <w:sz w:val="24"/>
              </w:rPr>
              <w:t>国家级</w:t>
            </w:r>
          </w:p>
        </w:tc>
        <w:tc>
          <w:tcPr>
            <w:tcW w:w="2265" w:type="dxa"/>
            <w:vAlign w:val="center"/>
          </w:tcPr>
          <w:p>
            <w:pPr>
              <w:autoSpaceDE w:val="0"/>
              <w:autoSpaceDN w:val="0"/>
              <w:adjustRightInd w:val="0"/>
              <w:spacing w:line="440" w:lineRule="exact"/>
              <w:jc w:val="center"/>
              <w:rPr>
                <w:rFonts w:ascii="宋体" w:hAnsi="宋体" w:cs="仿宋_GB2312+FPEF"/>
                <w:kern w:val="0"/>
                <w:sz w:val="24"/>
              </w:rPr>
            </w:pPr>
            <w:r>
              <w:rPr>
                <w:rFonts w:hint="eastAsia" w:ascii="宋体" w:hAnsi="宋体" w:cs="仿宋_GB2312+FPEF"/>
                <w:kern w:val="0"/>
                <w:sz w:val="24"/>
              </w:rPr>
              <w:t>60</w:t>
            </w:r>
          </w:p>
        </w:tc>
        <w:tc>
          <w:tcPr>
            <w:tcW w:w="2520" w:type="dxa"/>
            <w:vAlign w:val="center"/>
          </w:tcPr>
          <w:p>
            <w:pPr>
              <w:autoSpaceDE w:val="0"/>
              <w:autoSpaceDN w:val="0"/>
              <w:adjustRightInd w:val="0"/>
              <w:spacing w:line="440" w:lineRule="exact"/>
              <w:jc w:val="center"/>
              <w:rPr>
                <w:rFonts w:ascii="宋体" w:hAnsi="宋体" w:cs="仿宋_GB2312+FPEF"/>
                <w:kern w:val="0"/>
                <w:sz w:val="24"/>
              </w:rPr>
            </w:pPr>
            <w:r>
              <w:rPr>
                <w:rFonts w:hint="eastAsia" w:ascii="宋体" w:hAnsi="宋体" w:cs="仿宋_GB2312+FPEF"/>
                <w:kern w:val="0"/>
                <w:sz w:val="24"/>
              </w:rPr>
              <w:t>48</w:t>
            </w:r>
          </w:p>
        </w:tc>
        <w:tc>
          <w:tcPr>
            <w:tcW w:w="2521" w:type="dxa"/>
            <w:vAlign w:val="center"/>
          </w:tcPr>
          <w:p>
            <w:pPr>
              <w:autoSpaceDE w:val="0"/>
              <w:autoSpaceDN w:val="0"/>
              <w:adjustRightInd w:val="0"/>
              <w:spacing w:line="440" w:lineRule="exact"/>
              <w:jc w:val="center"/>
              <w:rPr>
                <w:rFonts w:ascii="宋体" w:hAnsi="宋体" w:cs="仿宋_GB2312+FPEF"/>
                <w:kern w:val="0"/>
                <w:sz w:val="24"/>
              </w:rPr>
            </w:pPr>
            <w:r>
              <w:rPr>
                <w:rFonts w:hint="eastAsia" w:ascii="宋体" w:hAnsi="宋体" w:cs="仿宋_GB2312+FPEF"/>
                <w:kern w:val="0"/>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639" w:type="dxa"/>
            <w:vAlign w:val="center"/>
          </w:tcPr>
          <w:p>
            <w:pPr>
              <w:autoSpaceDE w:val="0"/>
              <w:autoSpaceDN w:val="0"/>
              <w:adjustRightInd w:val="0"/>
              <w:spacing w:line="440" w:lineRule="exact"/>
              <w:jc w:val="center"/>
              <w:rPr>
                <w:rFonts w:ascii="宋体" w:hAnsi="宋体" w:cs="仿宋_GB2312+FPEF"/>
                <w:kern w:val="0"/>
                <w:sz w:val="24"/>
              </w:rPr>
            </w:pPr>
            <w:r>
              <w:rPr>
                <w:rFonts w:hint="eastAsia" w:ascii="宋体" w:hAnsi="宋体" w:cs="仿宋_GB2312+FPEF"/>
                <w:kern w:val="0"/>
                <w:sz w:val="24"/>
              </w:rPr>
              <w:t>省级</w:t>
            </w:r>
          </w:p>
        </w:tc>
        <w:tc>
          <w:tcPr>
            <w:tcW w:w="2265" w:type="dxa"/>
            <w:vAlign w:val="center"/>
          </w:tcPr>
          <w:p>
            <w:pPr>
              <w:autoSpaceDE w:val="0"/>
              <w:autoSpaceDN w:val="0"/>
              <w:adjustRightInd w:val="0"/>
              <w:spacing w:line="440" w:lineRule="exact"/>
              <w:jc w:val="center"/>
              <w:rPr>
                <w:rFonts w:ascii="宋体" w:hAnsi="宋体" w:cs="仿宋_GB2312+FPEF"/>
                <w:kern w:val="0"/>
                <w:sz w:val="24"/>
              </w:rPr>
            </w:pPr>
            <w:r>
              <w:rPr>
                <w:rFonts w:hint="eastAsia" w:ascii="宋体" w:hAnsi="宋体" w:cs="仿宋_GB2312+FPEF"/>
                <w:kern w:val="0"/>
                <w:sz w:val="24"/>
              </w:rPr>
              <w:t>30</w:t>
            </w:r>
          </w:p>
        </w:tc>
        <w:tc>
          <w:tcPr>
            <w:tcW w:w="2520" w:type="dxa"/>
            <w:vAlign w:val="center"/>
          </w:tcPr>
          <w:p>
            <w:pPr>
              <w:autoSpaceDE w:val="0"/>
              <w:autoSpaceDN w:val="0"/>
              <w:adjustRightInd w:val="0"/>
              <w:spacing w:line="440" w:lineRule="exact"/>
              <w:jc w:val="center"/>
              <w:rPr>
                <w:rFonts w:ascii="宋体" w:hAnsi="宋体" w:cs="仿宋_GB2312+FPEF"/>
                <w:kern w:val="0"/>
                <w:sz w:val="24"/>
              </w:rPr>
            </w:pPr>
            <w:r>
              <w:rPr>
                <w:rFonts w:hint="eastAsia" w:ascii="宋体" w:hAnsi="宋体" w:cs="仿宋_GB2312+FPEF"/>
                <w:kern w:val="0"/>
                <w:sz w:val="24"/>
              </w:rPr>
              <w:t>24</w:t>
            </w:r>
          </w:p>
        </w:tc>
        <w:tc>
          <w:tcPr>
            <w:tcW w:w="2521" w:type="dxa"/>
            <w:vAlign w:val="center"/>
          </w:tcPr>
          <w:p>
            <w:pPr>
              <w:autoSpaceDE w:val="0"/>
              <w:autoSpaceDN w:val="0"/>
              <w:adjustRightInd w:val="0"/>
              <w:spacing w:line="440" w:lineRule="exact"/>
              <w:jc w:val="center"/>
              <w:rPr>
                <w:rFonts w:ascii="宋体" w:hAnsi="宋体" w:cs="仿宋_GB2312+FPEF"/>
                <w:kern w:val="0"/>
                <w:sz w:val="24"/>
              </w:rPr>
            </w:pPr>
            <w:r>
              <w:rPr>
                <w:rFonts w:hint="eastAsia" w:ascii="宋体" w:hAnsi="宋体" w:cs="仿宋_GB2312+FPEF"/>
                <w:kern w:val="0"/>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639" w:type="dxa"/>
            <w:vAlign w:val="center"/>
          </w:tcPr>
          <w:p>
            <w:pPr>
              <w:autoSpaceDE w:val="0"/>
              <w:autoSpaceDN w:val="0"/>
              <w:adjustRightInd w:val="0"/>
              <w:spacing w:line="440" w:lineRule="exact"/>
              <w:jc w:val="center"/>
              <w:rPr>
                <w:rFonts w:ascii="宋体" w:hAnsi="宋体" w:cs="仿宋_GB2312+FPEF"/>
                <w:kern w:val="0"/>
                <w:sz w:val="24"/>
              </w:rPr>
            </w:pPr>
            <w:r>
              <w:rPr>
                <w:rFonts w:hint="eastAsia" w:ascii="宋体" w:hAnsi="宋体" w:cs="仿宋_GB2312+FPEF"/>
                <w:kern w:val="0"/>
                <w:sz w:val="24"/>
              </w:rPr>
              <w:t>地市级、校级</w:t>
            </w:r>
          </w:p>
        </w:tc>
        <w:tc>
          <w:tcPr>
            <w:tcW w:w="2265" w:type="dxa"/>
            <w:vAlign w:val="center"/>
          </w:tcPr>
          <w:p>
            <w:pPr>
              <w:autoSpaceDE w:val="0"/>
              <w:autoSpaceDN w:val="0"/>
              <w:adjustRightInd w:val="0"/>
              <w:spacing w:line="440" w:lineRule="exact"/>
              <w:jc w:val="center"/>
              <w:rPr>
                <w:rFonts w:ascii="宋体" w:hAnsi="宋体" w:cs="仿宋_GB2312+FPEF"/>
                <w:kern w:val="0"/>
                <w:sz w:val="24"/>
              </w:rPr>
            </w:pPr>
            <w:r>
              <w:rPr>
                <w:rFonts w:hint="eastAsia" w:ascii="宋体" w:hAnsi="宋体" w:cs="仿宋_GB2312+FPEF"/>
                <w:kern w:val="0"/>
                <w:sz w:val="24"/>
              </w:rPr>
              <w:t>15</w:t>
            </w:r>
          </w:p>
        </w:tc>
        <w:tc>
          <w:tcPr>
            <w:tcW w:w="2520" w:type="dxa"/>
            <w:vAlign w:val="center"/>
          </w:tcPr>
          <w:p>
            <w:pPr>
              <w:autoSpaceDE w:val="0"/>
              <w:autoSpaceDN w:val="0"/>
              <w:adjustRightInd w:val="0"/>
              <w:spacing w:line="440" w:lineRule="exact"/>
              <w:jc w:val="center"/>
              <w:rPr>
                <w:rFonts w:ascii="宋体" w:hAnsi="宋体" w:cs="仿宋_GB2312+FPEF"/>
                <w:kern w:val="0"/>
                <w:sz w:val="24"/>
              </w:rPr>
            </w:pPr>
            <w:r>
              <w:rPr>
                <w:rFonts w:hint="eastAsia" w:ascii="宋体" w:hAnsi="宋体" w:cs="仿宋_GB2312+FPEF"/>
                <w:kern w:val="0"/>
                <w:sz w:val="24"/>
              </w:rPr>
              <w:t>12</w:t>
            </w:r>
          </w:p>
        </w:tc>
        <w:tc>
          <w:tcPr>
            <w:tcW w:w="2521" w:type="dxa"/>
            <w:vAlign w:val="center"/>
          </w:tcPr>
          <w:p>
            <w:pPr>
              <w:autoSpaceDE w:val="0"/>
              <w:autoSpaceDN w:val="0"/>
              <w:adjustRightInd w:val="0"/>
              <w:spacing w:line="440" w:lineRule="exact"/>
              <w:jc w:val="center"/>
              <w:rPr>
                <w:rFonts w:ascii="宋体" w:hAnsi="宋体" w:cs="仿宋_GB2312+FPEF"/>
                <w:kern w:val="0"/>
                <w:sz w:val="24"/>
              </w:rPr>
            </w:pPr>
            <w:r>
              <w:rPr>
                <w:rFonts w:hint="eastAsia" w:ascii="宋体" w:hAnsi="宋体" w:cs="仿宋_GB2312+FPEF"/>
                <w:kern w:val="0"/>
                <w:sz w:val="24"/>
              </w:rPr>
              <w:t>9</w:t>
            </w:r>
          </w:p>
        </w:tc>
      </w:tr>
    </w:tbl>
    <w:p>
      <w:pPr>
        <w:spacing w:line="360" w:lineRule="auto"/>
        <w:ind w:firstLine="420" w:firstLineChars="200"/>
        <w:rPr>
          <w:rFonts w:ascii="宋体"/>
          <w:sz w:val="24"/>
          <w:szCs w:val="24"/>
        </w:rPr>
      </w:pPr>
      <w:r>
        <w:rPr>
          <w:rFonts w:hint="eastAsia" w:ascii="Times New Roman"/>
        </w:rPr>
        <w:t>说明：</w:t>
      </w:r>
      <w:r>
        <w:rPr>
          <w:rFonts w:hint="eastAsia"/>
        </w:rPr>
        <w:t>1.</w:t>
      </w:r>
      <w:r>
        <w:rPr>
          <w:rFonts w:hint="eastAsia" w:ascii="Times New Roman"/>
        </w:rPr>
        <w:t>校级比赛项目是指由学校职能部门主办的大型比赛，仅由校级学生社团主办的全校性竞赛计分减半；</w:t>
      </w:r>
      <w:r>
        <w:rPr>
          <w:rFonts w:hint="eastAsia"/>
        </w:rPr>
        <w:t>2.</w:t>
      </w:r>
      <w:r>
        <w:rPr>
          <w:rFonts w:hint="eastAsia" w:ascii="Times New Roman"/>
        </w:rPr>
        <w:t>晋级类竞赛的计分不累计；</w:t>
      </w:r>
      <w:r>
        <w:rPr>
          <w:rFonts w:hint="eastAsia"/>
        </w:rPr>
        <w:t>3.</w:t>
      </w:r>
      <w:r>
        <w:rPr>
          <w:rFonts w:hint="eastAsia" w:ascii="Times New Roman"/>
        </w:rPr>
        <w:t>此类比赛为非学术类竞赛；4.</w:t>
      </w:r>
      <w:r>
        <w:rPr>
          <w:rFonts w:hint="eastAsia" w:ascii="宋体" w:hAnsi="宋体"/>
          <w:sz w:val="24"/>
          <w:szCs w:val="24"/>
        </w:rPr>
        <w:t>比赛缺席减分。报名后无故缺席各类竞赛或在比赛中违反道德和规则，造成不良后果的</w:t>
      </w:r>
      <w:r>
        <w:rPr>
          <w:rFonts w:ascii="宋体" w:hAnsi="宋体"/>
          <w:sz w:val="24"/>
          <w:szCs w:val="24"/>
        </w:rPr>
        <w:t>1</w:t>
      </w:r>
      <w:r>
        <w:rPr>
          <w:rFonts w:hint="eastAsia" w:ascii="宋体" w:hAnsi="宋体"/>
          <w:sz w:val="24"/>
          <w:szCs w:val="24"/>
        </w:rPr>
        <w:t>次减5分。</w:t>
      </w:r>
    </w:p>
    <w:p>
      <w:pPr>
        <w:pStyle w:val="6"/>
        <w:spacing w:before="0" w:beforeAutospacing="0" w:after="0" w:afterAutospacing="0" w:line="440" w:lineRule="exact"/>
        <w:ind w:firstLine="480" w:firstLineChars="200"/>
        <w:rPr>
          <w:rFonts w:ascii="Times New Roman"/>
        </w:rPr>
      </w:pPr>
    </w:p>
    <w:p>
      <w:pPr>
        <w:autoSpaceDE w:val="0"/>
        <w:autoSpaceDN w:val="0"/>
        <w:adjustRightInd w:val="0"/>
        <w:spacing w:line="440" w:lineRule="exact"/>
        <w:ind w:firstLine="480" w:firstLineChars="200"/>
        <w:jc w:val="left"/>
        <w:rPr>
          <w:rFonts w:ascii="宋体" w:hAnsi="宋体" w:cs="仿宋_GB2312+FPEF"/>
          <w:kern w:val="0"/>
          <w:sz w:val="24"/>
        </w:rPr>
      </w:pPr>
      <w:r>
        <w:rPr>
          <w:rFonts w:hint="eastAsia" w:ascii="宋体" w:hAnsi="宋体" w:cs="仿宋_GB2312+FPEF"/>
          <w:kern w:val="0"/>
          <w:sz w:val="24"/>
        </w:rPr>
        <w:t>（四）荣誉表彰计分办法与标准</w:t>
      </w:r>
    </w:p>
    <w:p>
      <w:pPr>
        <w:autoSpaceDE w:val="0"/>
        <w:autoSpaceDN w:val="0"/>
        <w:adjustRightInd w:val="0"/>
        <w:spacing w:line="440" w:lineRule="exact"/>
        <w:ind w:firstLine="465"/>
        <w:jc w:val="left"/>
        <w:rPr>
          <w:rFonts w:ascii="宋体" w:hAnsi="宋体" w:cs="仿宋_GB2312+FPEF"/>
          <w:kern w:val="0"/>
          <w:sz w:val="24"/>
        </w:rPr>
      </w:pPr>
      <w:r>
        <w:rPr>
          <w:rFonts w:hint="eastAsia" w:ascii="宋体" w:hAnsi="宋体" w:cs="仿宋_GB2312+FPEF"/>
          <w:kern w:val="0"/>
          <w:sz w:val="24"/>
        </w:rPr>
        <w:t>在测评学年内研究生获得一定层次的校内外表彰，应予以加分，计分标准如下。</w:t>
      </w:r>
    </w:p>
    <w:p>
      <w:pPr>
        <w:autoSpaceDE w:val="0"/>
        <w:autoSpaceDN w:val="0"/>
        <w:adjustRightInd w:val="0"/>
        <w:spacing w:line="440" w:lineRule="exact"/>
        <w:ind w:firstLine="480" w:firstLineChars="200"/>
        <w:jc w:val="left"/>
        <w:rPr>
          <w:rFonts w:ascii="宋体" w:hAnsi="宋体" w:cs="仿宋_GB2312+FPEF"/>
          <w:kern w:val="0"/>
          <w:sz w:val="24"/>
        </w:rPr>
      </w:pPr>
    </w:p>
    <w:tbl>
      <w:tblPr>
        <w:tblStyle w:val="7"/>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4"/>
        <w:gridCol w:w="2174"/>
        <w:gridCol w:w="1627"/>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174" w:type="dxa"/>
            <w:vAlign w:val="center"/>
          </w:tcPr>
          <w:p>
            <w:pPr>
              <w:autoSpaceDE w:val="0"/>
              <w:autoSpaceDN w:val="0"/>
              <w:adjustRightInd w:val="0"/>
              <w:spacing w:line="440" w:lineRule="exact"/>
              <w:jc w:val="center"/>
              <w:rPr>
                <w:rFonts w:ascii="宋体" w:hAnsi="宋体" w:cs="仿宋_GB2312+FPEF"/>
                <w:kern w:val="0"/>
                <w:sz w:val="24"/>
              </w:rPr>
            </w:pPr>
            <w:r>
              <w:rPr>
                <w:rFonts w:hint="eastAsia" w:ascii="宋体" w:hAnsi="宋体" w:cs="仿宋_GB2312+FPEF"/>
                <w:kern w:val="0"/>
                <w:sz w:val="24"/>
              </w:rPr>
              <w:t>类别</w:t>
            </w:r>
          </w:p>
        </w:tc>
        <w:tc>
          <w:tcPr>
            <w:tcW w:w="2174" w:type="dxa"/>
            <w:vAlign w:val="center"/>
          </w:tcPr>
          <w:p>
            <w:pPr>
              <w:autoSpaceDE w:val="0"/>
              <w:autoSpaceDN w:val="0"/>
              <w:adjustRightInd w:val="0"/>
              <w:spacing w:line="440" w:lineRule="exact"/>
              <w:jc w:val="center"/>
              <w:rPr>
                <w:rFonts w:ascii="宋体" w:hAnsi="宋体" w:cs="仿宋_GB2312+FPEF"/>
                <w:kern w:val="0"/>
                <w:sz w:val="24"/>
              </w:rPr>
            </w:pPr>
            <w:r>
              <w:rPr>
                <w:rFonts w:hint="eastAsia" w:ascii="宋体" w:hAnsi="宋体" w:cs="仿宋_GB2312+FPEF"/>
                <w:kern w:val="0"/>
                <w:sz w:val="24"/>
              </w:rPr>
              <w:t>国家级</w:t>
            </w:r>
          </w:p>
        </w:tc>
        <w:tc>
          <w:tcPr>
            <w:tcW w:w="1627" w:type="dxa"/>
            <w:vAlign w:val="center"/>
          </w:tcPr>
          <w:p>
            <w:pPr>
              <w:autoSpaceDE w:val="0"/>
              <w:autoSpaceDN w:val="0"/>
              <w:adjustRightInd w:val="0"/>
              <w:spacing w:line="440" w:lineRule="exact"/>
              <w:jc w:val="center"/>
              <w:rPr>
                <w:rFonts w:ascii="宋体" w:hAnsi="宋体" w:cs="仿宋_GB2312+FPEF"/>
                <w:kern w:val="0"/>
                <w:sz w:val="24"/>
              </w:rPr>
            </w:pPr>
            <w:r>
              <w:rPr>
                <w:rFonts w:hint="eastAsia" w:ascii="宋体" w:hAnsi="宋体" w:cs="仿宋_GB2312+FPEF"/>
                <w:kern w:val="0"/>
                <w:sz w:val="24"/>
              </w:rPr>
              <w:t>省级</w:t>
            </w:r>
          </w:p>
        </w:tc>
        <w:tc>
          <w:tcPr>
            <w:tcW w:w="2170" w:type="dxa"/>
            <w:vAlign w:val="center"/>
          </w:tcPr>
          <w:p>
            <w:pPr>
              <w:autoSpaceDE w:val="0"/>
              <w:autoSpaceDN w:val="0"/>
              <w:adjustRightInd w:val="0"/>
              <w:spacing w:line="440" w:lineRule="exact"/>
              <w:jc w:val="center"/>
              <w:rPr>
                <w:rFonts w:ascii="宋体" w:hAnsi="宋体" w:cs="仿宋_GB2312+FPEF"/>
                <w:kern w:val="0"/>
                <w:sz w:val="24"/>
              </w:rPr>
            </w:pPr>
            <w:r>
              <w:rPr>
                <w:rFonts w:hint="eastAsia" w:ascii="宋体" w:hAnsi="宋体" w:cs="仿宋_GB2312+FPEF"/>
                <w:kern w:val="0"/>
                <w:sz w:val="24"/>
              </w:rPr>
              <w:t>地市级、校级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174" w:type="dxa"/>
            <w:vAlign w:val="center"/>
          </w:tcPr>
          <w:p>
            <w:pPr>
              <w:autoSpaceDE w:val="0"/>
              <w:autoSpaceDN w:val="0"/>
              <w:adjustRightInd w:val="0"/>
              <w:spacing w:line="440" w:lineRule="exact"/>
              <w:jc w:val="center"/>
              <w:rPr>
                <w:rFonts w:ascii="宋体" w:hAnsi="宋体" w:cs="仿宋_GB2312+FPEF"/>
                <w:kern w:val="0"/>
                <w:sz w:val="24"/>
              </w:rPr>
            </w:pPr>
            <w:r>
              <w:rPr>
                <w:rFonts w:hint="eastAsia" w:ascii="宋体" w:hAnsi="宋体" w:cs="仿宋_GB2312+FPEF"/>
                <w:kern w:val="0"/>
                <w:sz w:val="24"/>
              </w:rPr>
              <w:t>加分</w:t>
            </w:r>
          </w:p>
        </w:tc>
        <w:tc>
          <w:tcPr>
            <w:tcW w:w="2174" w:type="dxa"/>
            <w:vAlign w:val="center"/>
          </w:tcPr>
          <w:p>
            <w:pPr>
              <w:autoSpaceDE w:val="0"/>
              <w:autoSpaceDN w:val="0"/>
              <w:adjustRightInd w:val="0"/>
              <w:spacing w:line="440" w:lineRule="exact"/>
              <w:jc w:val="center"/>
              <w:rPr>
                <w:rFonts w:ascii="宋体" w:hAnsi="宋体" w:cs="仿宋_GB2312+FPEF"/>
                <w:kern w:val="0"/>
                <w:sz w:val="24"/>
              </w:rPr>
            </w:pPr>
            <w:r>
              <w:rPr>
                <w:rFonts w:hint="eastAsia" w:ascii="宋体" w:hAnsi="宋体" w:cs="仿宋_GB2312+FPEF"/>
                <w:kern w:val="0"/>
                <w:sz w:val="24"/>
              </w:rPr>
              <w:t>60</w:t>
            </w:r>
          </w:p>
        </w:tc>
        <w:tc>
          <w:tcPr>
            <w:tcW w:w="1627" w:type="dxa"/>
            <w:vAlign w:val="center"/>
          </w:tcPr>
          <w:p>
            <w:pPr>
              <w:autoSpaceDE w:val="0"/>
              <w:autoSpaceDN w:val="0"/>
              <w:adjustRightInd w:val="0"/>
              <w:spacing w:line="440" w:lineRule="exact"/>
              <w:jc w:val="center"/>
              <w:rPr>
                <w:rFonts w:ascii="宋体" w:hAnsi="宋体" w:cs="仿宋_GB2312+FPEF"/>
                <w:kern w:val="0"/>
                <w:sz w:val="24"/>
              </w:rPr>
            </w:pPr>
            <w:r>
              <w:rPr>
                <w:rFonts w:hint="eastAsia" w:ascii="宋体" w:hAnsi="宋体" w:cs="仿宋_GB2312+FPEF"/>
                <w:kern w:val="0"/>
                <w:sz w:val="24"/>
              </w:rPr>
              <w:t>30</w:t>
            </w:r>
          </w:p>
        </w:tc>
        <w:tc>
          <w:tcPr>
            <w:tcW w:w="2170" w:type="dxa"/>
            <w:vAlign w:val="center"/>
          </w:tcPr>
          <w:p>
            <w:pPr>
              <w:autoSpaceDE w:val="0"/>
              <w:autoSpaceDN w:val="0"/>
              <w:adjustRightInd w:val="0"/>
              <w:spacing w:line="440" w:lineRule="exact"/>
              <w:jc w:val="center"/>
              <w:rPr>
                <w:rFonts w:ascii="宋体" w:hAnsi="宋体" w:cs="仿宋_GB2312+FPEF"/>
                <w:kern w:val="0"/>
                <w:sz w:val="24"/>
              </w:rPr>
            </w:pPr>
            <w:r>
              <w:rPr>
                <w:rFonts w:hint="eastAsia" w:ascii="宋体" w:hAnsi="宋体" w:cs="仿宋_GB2312+FPEF"/>
                <w:kern w:val="0"/>
                <w:sz w:val="24"/>
              </w:rPr>
              <w:t>15</w:t>
            </w:r>
          </w:p>
        </w:tc>
      </w:tr>
    </w:tbl>
    <w:p>
      <w:pPr>
        <w:autoSpaceDE w:val="0"/>
        <w:autoSpaceDN w:val="0"/>
        <w:adjustRightInd w:val="0"/>
        <w:spacing w:line="440" w:lineRule="exact"/>
        <w:ind w:firstLine="480" w:firstLineChars="200"/>
        <w:jc w:val="left"/>
        <w:rPr>
          <w:rFonts w:ascii="宋体" w:hAnsi="宋体" w:cs="仿宋_GB2312+FPEF"/>
          <w:kern w:val="0"/>
          <w:sz w:val="24"/>
        </w:rPr>
      </w:pPr>
      <w:r>
        <w:rPr>
          <w:rFonts w:hint="eastAsia" w:ascii="宋体" w:hAnsi="宋体" w:cs="仿宋_GB2312+FPEF"/>
          <w:kern w:val="0"/>
          <w:sz w:val="24"/>
        </w:rPr>
        <w:t>说明：1.同一类型的荣誉以所获得的最高级别荣誉计分，不同级别不累计加分；2.获奖性质为团体，所有成员均获得该项相应得分；3.该类荣誉计分范围是参加各类文体竞赛、学术竞赛、技能竞赛之外获得的荣誉；4.经学校推荐后未经再次评选或差额淘汰而直接获得的更高层次荣誉，按校级荣誉计分；5.各类奖学金不作为荣誉表彰的依据。</w:t>
      </w:r>
    </w:p>
    <w:p>
      <w:pPr>
        <w:pStyle w:val="6"/>
        <w:spacing w:before="0" w:beforeAutospacing="0" w:after="0" w:afterAutospacing="0" w:line="440" w:lineRule="exact"/>
        <w:ind w:firstLine="480" w:firstLineChars="200"/>
        <w:rPr>
          <w:rFonts w:cs="仿宋_GB2312+FPEF"/>
        </w:rPr>
      </w:pPr>
      <w:r>
        <w:rPr>
          <w:rFonts w:hint="eastAsia" w:cs="仿宋_GB2312+FPEF"/>
        </w:rPr>
        <w:t>（五）国际交流计分标准</w:t>
      </w:r>
    </w:p>
    <w:p>
      <w:pPr>
        <w:pStyle w:val="6"/>
        <w:spacing w:before="0" w:beforeAutospacing="0" w:after="0" w:afterAutospacing="0" w:line="440" w:lineRule="exact"/>
        <w:ind w:firstLine="480" w:firstLineChars="200"/>
        <w:rPr>
          <w:rFonts w:ascii="Times New Roman"/>
        </w:rPr>
      </w:pPr>
      <w:r>
        <w:rPr>
          <w:rFonts w:hint="eastAsia" w:cs="仿宋_GB2312+FPEF"/>
        </w:rPr>
        <w:t>在测评学年内研究生参加境外学习交流单期连续超过90天，凭交流活动组织单位或部门开具的证明予以计分，</w:t>
      </w:r>
      <w:r>
        <w:rPr>
          <w:rFonts w:hint="eastAsia" w:ascii="Times New Roman"/>
        </w:rPr>
        <w:t>每期计30分，计分不累计。</w:t>
      </w:r>
    </w:p>
    <w:p>
      <w:pPr>
        <w:pStyle w:val="12"/>
        <w:numPr>
          <w:ilvl w:val="0"/>
          <w:numId w:val="1"/>
        </w:numPr>
        <w:spacing w:line="360" w:lineRule="auto"/>
        <w:ind w:firstLineChars="0"/>
        <w:jc w:val="center"/>
        <w:rPr>
          <w:rFonts w:ascii="宋体"/>
          <w:b/>
          <w:sz w:val="24"/>
          <w:szCs w:val="24"/>
        </w:rPr>
      </w:pPr>
      <w:r>
        <w:rPr>
          <w:rFonts w:hint="eastAsia" w:ascii="宋体" w:hAnsi="宋体"/>
          <w:b/>
          <w:sz w:val="24"/>
          <w:szCs w:val="24"/>
        </w:rPr>
        <w:t>创新模块</w:t>
      </w:r>
    </w:p>
    <w:p>
      <w:pPr>
        <w:pStyle w:val="6"/>
        <w:spacing w:before="0" w:beforeAutospacing="0" w:after="0" w:afterAutospacing="0" w:line="440" w:lineRule="exact"/>
        <w:ind w:firstLine="480" w:firstLineChars="200"/>
        <w:rPr>
          <w:rFonts w:ascii="Times New Roman"/>
        </w:rPr>
      </w:pPr>
    </w:p>
    <w:p>
      <w:pPr>
        <w:autoSpaceDE w:val="0"/>
        <w:autoSpaceDN w:val="0"/>
        <w:adjustRightInd w:val="0"/>
        <w:spacing w:line="360" w:lineRule="auto"/>
        <w:ind w:firstLine="480" w:firstLineChars="200"/>
        <w:jc w:val="left"/>
        <w:rPr>
          <w:rFonts w:ascii="宋体" w:hAnsi="宋体" w:cs="仿宋_GB2312+FPEF"/>
          <w:kern w:val="0"/>
          <w:sz w:val="24"/>
        </w:rPr>
      </w:pPr>
      <w:r>
        <w:rPr>
          <w:rFonts w:hint="eastAsia" w:ascii="宋体" w:hAnsi="宋体" w:cs="仿宋_GB2312+FPEF"/>
          <w:kern w:val="0"/>
          <w:sz w:val="24"/>
        </w:rPr>
        <w:t>第十一条  创新模块主要考察研究生在学术研究和创新实践方面取得的成果。</w:t>
      </w:r>
    </w:p>
    <w:p>
      <w:pPr>
        <w:pStyle w:val="6"/>
        <w:spacing w:before="0" w:beforeAutospacing="0" w:after="0" w:afterAutospacing="0" w:line="440" w:lineRule="exact"/>
        <w:ind w:firstLine="480" w:firstLineChars="200"/>
        <w:rPr>
          <w:rFonts w:cs="仿宋_GB2312+FPEF"/>
        </w:rPr>
      </w:pPr>
      <w:r>
        <w:rPr>
          <w:rFonts w:hint="eastAsia" w:cs="仿宋_GB2312+FPEF"/>
        </w:rPr>
        <w:t>（一）学术研究成果及其计分标准</w:t>
      </w:r>
    </w:p>
    <w:p>
      <w:pPr>
        <w:autoSpaceDE w:val="0"/>
        <w:autoSpaceDN w:val="0"/>
        <w:adjustRightInd w:val="0"/>
        <w:spacing w:line="360" w:lineRule="auto"/>
        <w:ind w:firstLine="480" w:firstLineChars="200"/>
        <w:jc w:val="left"/>
        <w:rPr>
          <w:rFonts w:ascii="宋体" w:hAnsi="宋体" w:cs="仿宋_GB2312+FPEF"/>
          <w:kern w:val="0"/>
          <w:sz w:val="24"/>
        </w:rPr>
      </w:pPr>
      <w:r>
        <w:rPr>
          <w:rFonts w:hint="eastAsia" w:ascii="宋体" w:hAnsi="宋体" w:cs="仿宋_GB2312+FPEF"/>
          <w:kern w:val="0"/>
          <w:sz w:val="24"/>
        </w:rPr>
        <w:t>学术研究成果主要包括研究生发表学术论文、出版专著、获得专利授权，主持或参与重要科研项目情况，学院在对研究生创新成果进行认定时，参照《浙江工商大学高层次教学、科研成果奖励办法》的标准，会计学院的计分标准为上述奖励办法中相应分值的20倍。</w:t>
      </w:r>
    </w:p>
    <w:tbl>
      <w:tblPr>
        <w:tblStyle w:val="7"/>
        <w:tblW w:w="11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3360"/>
        <w:gridCol w:w="3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337" w:type="dxa"/>
            <w:gridSpan w:val="3"/>
          </w:tcPr>
          <w:p>
            <w:pPr>
              <w:spacing w:line="280" w:lineRule="exact"/>
              <w:jc w:val="center"/>
              <w:rPr>
                <w:b/>
                <w:sz w:val="20"/>
                <w:szCs w:val="18"/>
              </w:rPr>
            </w:pPr>
            <w:r>
              <w:rPr>
                <w:rFonts w:hAnsi="宋体"/>
                <w:b/>
                <w:sz w:val="20"/>
                <w:szCs w:val="18"/>
              </w:rPr>
              <w:t>应用性研究成果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345" w:type="dxa"/>
          </w:tcPr>
          <w:p>
            <w:pPr>
              <w:spacing w:line="280" w:lineRule="exact"/>
              <w:rPr>
                <w:rFonts w:hAnsi="宋体"/>
                <w:sz w:val="20"/>
                <w:szCs w:val="18"/>
              </w:rPr>
            </w:pPr>
            <w:r>
              <w:rPr>
                <w:rFonts w:hAnsi="宋体"/>
                <w:sz w:val="20"/>
                <w:szCs w:val="18"/>
              </w:rPr>
              <w:t>应用、采纳</w:t>
            </w:r>
            <w:r>
              <w:rPr>
                <w:rFonts w:hint="eastAsia" w:hAnsi="宋体"/>
                <w:sz w:val="20"/>
                <w:szCs w:val="18"/>
              </w:rPr>
              <w:t>、</w:t>
            </w:r>
            <w:r>
              <w:rPr>
                <w:rFonts w:hAnsi="宋体"/>
                <w:sz w:val="20"/>
                <w:szCs w:val="18"/>
              </w:rPr>
              <w:t>肯定性批示</w:t>
            </w:r>
            <w:r>
              <w:rPr>
                <w:rFonts w:hint="eastAsia" w:hAnsi="宋体"/>
                <w:sz w:val="20"/>
                <w:szCs w:val="18"/>
              </w:rPr>
              <w:t>或产生巨大经济社会效益</w:t>
            </w:r>
          </w:p>
        </w:tc>
        <w:tc>
          <w:tcPr>
            <w:tcW w:w="3360" w:type="dxa"/>
            <w:vAlign w:val="center"/>
          </w:tcPr>
          <w:p>
            <w:pPr>
              <w:spacing w:line="280" w:lineRule="exact"/>
              <w:jc w:val="center"/>
              <w:rPr>
                <w:sz w:val="20"/>
                <w:szCs w:val="18"/>
              </w:rPr>
            </w:pPr>
            <w:r>
              <w:rPr>
                <w:rFonts w:hAnsi="宋体"/>
                <w:sz w:val="20"/>
                <w:szCs w:val="18"/>
              </w:rPr>
              <w:t>分值</w:t>
            </w:r>
          </w:p>
        </w:tc>
        <w:tc>
          <w:tcPr>
            <w:tcW w:w="3632" w:type="dxa"/>
            <w:vAlign w:val="center"/>
          </w:tcPr>
          <w:p>
            <w:pPr>
              <w:spacing w:line="280" w:lineRule="exact"/>
              <w:jc w:val="center"/>
              <w:rPr>
                <w:sz w:val="20"/>
                <w:szCs w:val="18"/>
              </w:rPr>
            </w:pPr>
            <w:r>
              <w:rPr>
                <w:rFonts w:hAnsi="宋体"/>
                <w:sz w:val="20"/>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4345" w:type="dxa"/>
          </w:tcPr>
          <w:p>
            <w:pPr>
              <w:spacing w:line="280" w:lineRule="exact"/>
              <w:rPr>
                <w:sz w:val="20"/>
                <w:szCs w:val="18"/>
              </w:rPr>
            </w:pPr>
            <w:r>
              <w:rPr>
                <w:rFonts w:hAnsi="宋体"/>
                <w:sz w:val="20"/>
                <w:szCs w:val="18"/>
              </w:rPr>
              <w:t>被中共中央、国务院正式应用与采纳</w:t>
            </w:r>
            <w:r>
              <w:rPr>
                <w:rFonts w:hint="eastAsia" w:hAnsi="宋体"/>
                <w:sz w:val="20"/>
                <w:szCs w:val="18"/>
              </w:rPr>
              <w:t>，</w:t>
            </w:r>
            <w:r>
              <w:rPr>
                <w:rFonts w:hAnsi="宋体"/>
                <w:sz w:val="20"/>
                <w:szCs w:val="18"/>
              </w:rPr>
              <w:t>或得到中共中央、国务院领导肯定性批示</w:t>
            </w:r>
          </w:p>
        </w:tc>
        <w:tc>
          <w:tcPr>
            <w:tcW w:w="3360" w:type="dxa"/>
            <w:vAlign w:val="center"/>
          </w:tcPr>
          <w:p>
            <w:pPr>
              <w:spacing w:line="280" w:lineRule="exact"/>
              <w:jc w:val="center"/>
              <w:rPr>
                <w:sz w:val="20"/>
                <w:szCs w:val="18"/>
              </w:rPr>
            </w:pPr>
            <w:r>
              <w:rPr>
                <w:rFonts w:hint="eastAsia"/>
                <w:sz w:val="20"/>
                <w:szCs w:val="18"/>
              </w:rPr>
              <w:t>100</w:t>
            </w:r>
          </w:p>
        </w:tc>
        <w:tc>
          <w:tcPr>
            <w:tcW w:w="3632" w:type="dxa"/>
            <w:vMerge w:val="restart"/>
            <w:vAlign w:val="center"/>
          </w:tcPr>
          <w:p>
            <w:pPr>
              <w:spacing w:line="280" w:lineRule="exact"/>
              <w:rPr>
                <w:sz w:val="20"/>
                <w:szCs w:val="18"/>
              </w:rPr>
            </w:pPr>
            <w:r>
              <w:rPr>
                <w:rFonts w:hint="eastAsia"/>
                <w:sz w:val="20"/>
                <w:szCs w:val="18"/>
              </w:rPr>
              <w:t>需提供有效证明材料。成果被</w:t>
            </w:r>
            <w:r>
              <w:rPr>
                <w:sz w:val="20"/>
                <w:szCs w:val="18"/>
              </w:rPr>
              <w:t>正式应用与采纳</w:t>
            </w:r>
            <w:r>
              <w:rPr>
                <w:rFonts w:hint="eastAsia"/>
                <w:sz w:val="20"/>
                <w:szCs w:val="18"/>
              </w:rPr>
              <w:t>需提供相关部门证明，且标明被采纳的部分。成果得到领导肯定性批示需提供批示处理单等相关材料</w:t>
            </w:r>
            <w:r>
              <w:rPr>
                <w:rFonts w:hint="eastAsia" w:hAnsi="宋体"/>
                <w:sz w:val="20"/>
                <w:szCs w:val="18"/>
              </w:rPr>
              <w:t>。成果得到领导批阅的需提供相关材料。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45" w:type="dxa"/>
          </w:tcPr>
          <w:p>
            <w:pPr>
              <w:spacing w:line="280" w:lineRule="exact"/>
              <w:rPr>
                <w:sz w:val="20"/>
                <w:szCs w:val="18"/>
              </w:rPr>
            </w:pPr>
            <w:r>
              <w:rPr>
                <w:rFonts w:hAnsi="宋体"/>
                <w:sz w:val="20"/>
                <w:szCs w:val="18"/>
              </w:rPr>
              <w:t>被国务院各部委或省委、省政府正式应用与采纳</w:t>
            </w:r>
            <w:r>
              <w:rPr>
                <w:rFonts w:hint="eastAsia" w:hAnsi="宋体"/>
                <w:sz w:val="20"/>
                <w:szCs w:val="18"/>
              </w:rPr>
              <w:t>，</w:t>
            </w:r>
            <w:r>
              <w:rPr>
                <w:rFonts w:hAnsi="宋体"/>
                <w:sz w:val="20"/>
                <w:szCs w:val="18"/>
              </w:rPr>
              <w:t>或得到国务院各部委或省委、省政府领导肯定性批示</w:t>
            </w:r>
            <w:r>
              <w:rPr>
                <w:rFonts w:hint="eastAsia" w:hAnsi="宋体"/>
                <w:sz w:val="20"/>
                <w:szCs w:val="18"/>
              </w:rPr>
              <w:t>，或</w:t>
            </w:r>
            <w:r>
              <w:rPr>
                <w:rFonts w:hint="eastAsia"/>
                <w:sz w:val="20"/>
                <w:szCs w:val="18"/>
              </w:rPr>
              <w:t>获</w:t>
            </w:r>
            <w:r>
              <w:rPr>
                <w:rFonts w:hAnsi="宋体"/>
                <w:sz w:val="20"/>
                <w:szCs w:val="18"/>
              </w:rPr>
              <w:t>中共中央、国务院</w:t>
            </w:r>
            <w:r>
              <w:rPr>
                <w:rFonts w:hint="eastAsia" w:hAnsi="宋体"/>
                <w:sz w:val="20"/>
                <w:szCs w:val="18"/>
              </w:rPr>
              <w:t>领导</w:t>
            </w:r>
            <w:r>
              <w:rPr>
                <w:rFonts w:hint="eastAsia"/>
                <w:sz w:val="20"/>
                <w:szCs w:val="18"/>
              </w:rPr>
              <w:t>批阅</w:t>
            </w:r>
          </w:p>
        </w:tc>
        <w:tc>
          <w:tcPr>
            <w:tcW w:w="3360" w:type="dxa"/>
            <w:vAlign w:val="center"/>
          </w:tcPr>
          <w:p>
            <w:pPr>
              <w:spacing w:line="280" w:lineRule="exact"/>
              <w:jc w:val="center"/>
              <w:rPr>
                <w:sz w:val="20"/>
                <w:szCs w:val="18"/>
              </w:rPr>
            </w:pPr>
            <w:r>
              <w:rPr>
                <w:rFonts w:hint="eastAsia"/>
                <w:sz w:val="20"/>
                <w:szCs w:val="18"/>
              </w:rPr>
              <w:t>40</w:t>
            </w:r>
          </w:p>
        </w:tc>
        <w:tc>
          <w:tcPr>
            <w:tcW w:w="3632" w:type="dxa"/>
            <w:vMerge w:val="continue"/>
          </w:tcPr>
          <w:p>
            <w:pPr>
              <w:spacing w:line="280" w:lineRule="exac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4345" w:type="dxa"/>
          </w:tcPr>
          <w:p>
            <w:pPr>
              <w:spacing w:line="280" w:lineRule="exact"/>
              <w:rPr>
                <w:sz w:val="20"/>
                <w:szCs w:val="18"/>
              </w:rPr>
            </w:pPr>
            <w:r>
              <w:rPr>
                <w:rFonts w:hint="eastAsia"/>
                <w:sz w:val="20"/>
                <w:szCs w:val="18"/>
              </w:rPr>
              <w:t>获</w:t>
            </w:r>
            <w:r>
              <w:rPr>
                <w:sz w:val="20"/>
                <w:szCs w:val="18"/>
              </w:rPr>
              <w:t>国务院各部委或省委、省政府领导</w:t>
            </w:r>
            <w:r>
              <w:rPr>
                <w:rFonts w:hint="eastAsia"/>
                <w:sz w:val="20"/>
                <w:szCs w:val="18"/>
              </w:rPr>
              <w:t>领导批阅</w:t>
            </w:r>
          </w:p>
        </w:tc>
        <w:tc>
          <w:tcPr>
            <w:tcW w:w="3360" w:type="dxa"/>
            <w:vAlign w:val="center"/>
          </w:tcPr>
          <w:p>
            <w:pPr>
              <w:spacing w:line="280" w:lineRule="exact"/>
              <w:jc w:val="center"/>
              <w:rPr>
                <w:sz w:val="20"/>
                <w:szCs w:val="18"/>
              </w:rPr>
            </w:pPr>
            <w:r>
              <w:rPr>
                <w:rFonts w:hint="eastAsia"/>
                <w:sz w:val="20"/>
                <w:szCs w:val="18"/>
              </w:rPr>
              <w:t>20</w:t>
            </w:r>
          </w:p>
        </w:tc>
        <w:tc>
          <w:tcPr>
            <w:tcW w:w="3632" w:type="dxa"/>
            <w:vMerge w:val="continue"/>
            <w:vAlign w:val="center"/>
          </w:tcPr>
          <w:p>
            <w:pPr>
              <w:spacing w:line="280" w:lineRule="exac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345" w:type="dxa"/>
          </w:tcPr>
          <w:p>
            <w:pPr>
              <w:spacing w:line="280" w:lineRule="exact"/>
              <w:rPr>
                <w:rFonts w:hAnsi="宋体"/>
                <w:sz w:val="20"/>
                <w:szCs w:val="18"/>
              </w:rPr>
            </w:pPr>
            <w:r>
              <w:rPr>
                <w:rFonts w:hint="eastAsia"/>
                <w:sz w:val="20"/>
                <w:szCs w:val="18"/>
              </w:rPr>
              <w:t>入选国家哲学社会科学成果文库</w:t>
            </w:r>
          </w:p>
        </w:tc>
        <w:tc>
          <w:tcPr>
            <w:tcW w:w="3360" w:type="dxa"/>
            <w:vAlign w:val="center"/>
          </w:tcPr>
          <w:p>
            <w:pPr>
              <w:spacing w:line="280" w:lineRule="exact"/>
              <w:jc w:val="center"/>
              <w:rPr>
                <w:sz w:val="20"/>
                <w:szCs w:val="18"/>
              </w:rPr>
            </w:pPr>
            <w:r>
              <w:rPr>
                <w:rFonts w:hint="eastAsia"/>
                <w:sz w:val="20"/>
                <w:szCs w:val="18"/>
              </w:rPr>
              <w:t>60</w:t>
            </w:r>
          </w:p>
        </w:tc>
        <w:tc>
          <w:tcPr>
            <w:tcW w:w="3632" w:type="dxa"/>
            <w:vAlign w:val="center"/>
          </w:tcPr>
          <w:p>
            <w:pPr>
              <w:spacing w:line="280" w:lineRule="exac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5" w:type="dxa"/>
          </w:tcPr>
          <w:p>
            <w:pPr>
              <w:spacing w:line="280" w:lineRule="exact"/>
              <w:rPr>
                <w:rFonts w:hAnsi="宋体"/>
                <w:sz w:val="20"/>
                <w:szCs w:val="18"/>
              </w:rPr>
            </w:pPr>
            <w:r>
              <w:rPr>
                <w:rFonts w:hint="eastAsia" w:hAnsi="宋体"/>
                <w:sz w:val="20"/>
                <w:szCs w:val="18"/>
              </w:rPr>
              <w:t>国家社会科学基金项目成果被全国哲学社会科学发展规划办公室《成果要报》刊发</w:t>
            </w:r>
          </w:p>
        </w:tc>
        <w:tc>
          <w:tcPr>
            <w:tcW w:w="3360" w:type="dxa"/>
            <w:vAlign w:val="center"/>
          </w:tcPr>
          <w:p>
            <w:pPr>
              <w:spacing w:line="280" w:lineRule="exact"/>
              <w:jc w:val="center"/>
              <w:rPr>
                <w:sz w:val="20"/>
                <w:szCs w:val="18"/>
              </w:rPr>
            </w:pPr>
            <w:r>
              <w:rPr>
                <w:rFonts w:hint="eastAsia"/>
                <w:sz w:val="20"/>
                <w:szCs w:val="18"/>
              </w:rPr>
              <w:t>30</w:t>
            </w:r>
          </w:p>
        </w:tc>
        <w:tc>
          <w:tcPr>
            <w:tcW w:w="3632" w:type="dxa"/>
            <w:vAlign w:val="center"/>
          </w:tcPr>
          <w:p>
            <w:pPr>
              <w:spacing w:line="280" w:lineRule="exact"/>
              <w:rPr>
                <w:sz w:val="20"/>
                <w:szCs w:val="18"/>
              </w:rPr>
            </w:pPr>
            <w:r>
              <w:rPr>
                <w:rFonts w:hint="eastAsia"/>
                <w:sz w:val="20"/>
                <w:szCs w:val="18"/>
              </w:rPr>
              <w:t>需提供有效证明材料。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345" w:type="dxa"/>
          </w:tcPr>
          <w:p>
            <w:pPr>
              <w:spacing w:line="280" w:lineRule="exact"/>
              <w:rPr>
                <w:rFonts w:hAnsi="宋体"/>
                <w:sz w:val="20"/>
                <w:szCs w:val="18"/>
              </w:rPr>
            </w:pPr>
            <w:r>
              <w:rPr>
                <w:rFonts w:hint="eastAsia" w:hAnsi="宋体"/>
                <w:sz w:val="20"/>
                <w:szCs w:val="18"/>
              </w:rPr>
              <w:t>产生巨大经济或社会效益的研究成果</w:t>
            </w:r>
          </w:p>
        </w:tc>
        <w:tc>
          <w:tcPr>
            <w:tcW w:w="3360" w:type="dxa"/>
            <w:vAlign w:val="center"/>
          </w:tcPr>
          <w:p>
            <w:pPr>
              <w:spacing w:line="280" w:lineRule="exact"/>
              <w:jc w:val="center"/>
              <w:rPr>
                <w:sz w:val="20"/>
                <w:szCs w:val="18"/>
              </w:rPr>
            </w:pPr>
            <w:r>
              <w:rPr>
                <w:rFonts w:hint="eastAsia"/>
                <w:sz w:val="20"/>
                <w:szCs w:val="18"/>
              </w:rPr>
              <w:t>由学校专门会议认定</w:t>
            </w:r>
          </w:p>
        </w:tc>
        <w:tc>
          <w:tcPr>
            <w:tcW w:w="3632" w:type="dxa"/>
          </w:tcPr>
          <w:p>
            <w:pPr>
              <w:spacing w:line="280" w:lineRule="exact"/>
              <w:rPr>
                <w:sz w:val="20"/>
                <w:szCs w:val="18"/>
              </w:rPr>
            </w:pPr>
            <w:r>
              <w:rPr>
                <w:rFonts w:hint="eastAsia"/>
                <w:sz w:val="20"/>
                <w:szCs w:val="18"/>
              </w:rPr>
              <w:t>需提供完整证明材料。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337" w:type="dxa"/>
            <w:gridSpan w:val="3"/>
            <w:vAlign w:val="center"/>
          </w:tcPr>
          <w:p>
            <w:pPr>
              <w:spacing w:line="280" w:lineRule="exact"/>
              <w:jc w:val="center"/>
              <w:rPr>
                <w:sz w:val="20"/>
                <w:szCs w:val="18"/>
              </w:rPr>
            </w:pPr>
            <w:r>
              <w:rPr>
                <w:rFonts w:hAnsi="宋体"/>
                <w:b/>
                <w:sz w:val="20"/>
                <w:szCs w:val="18"/>
              </w:rPr>
              <w:t>学术论文和著作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345" w:type="dxa"/>
          </w:tcPr>
          <w:p>
            <w:pPr>
              <w:spacing w:line="280" w:lineRule="exact"/>
              <w:jc w:val="center"/>
              <w:rPr>
                <w:sz w:val="20"/>
                <w:szCs w:val="18"/>
              </w:rPr>
            </w:pPr>
            <w:r>
              <w:rPr>
                <w:rFonts w:hAnsi="宋体"/>
                <w:sz w:val="20"/>
                <w:szCs w:val="18"/>
              </w:rPr>
              <w:t>发表期刊（含收录、转载）</w:t>
            </w:r>
          </w:p>
        </w:tc>
        <w:tc>
          <w:tcPr>
            <w:tcW w:w="3360" w:type="dxa"/>
            <w:vAlign w:val="center"/>
          </w:tcPr>
          <w:p>
            <w:pPr>
              <w:spacing w:line="280" w:lineRule="exact"/>
              <w:jc w:val="center"/>
              <w:rPr>
                <w:sz w:val="20"/>
                <w:szCs w:val="18"/>
              </w:rPr>
            </w:pPr>
            <w:r>
              <w:rPr>
                <w:rFonts w:hAnsi="宋体"/>
                <w:sz w:val="20"/>
                <w:szCs w:val="18"/>
              </w:rPr>
              <w:t>分值</w:t>
            </w:r>
          </w:p>
        </w:tc>
        <w:tc>
          <w:tcPr>
            <w:tcW w:w="3632" w:type="dxa"/>
          </w:tcPr>
          <w:p>
            <w:pPr>
              <w:spacing w:line="280" w:lineRule="exact"/>
              <w:jc w:val="center"/>
              <w:rPr>
                <w:sz w:val="20"/>
                <w:szCs w:val="18"/>
              </w:rPr>
            </w:pPr>
            <w:r>
              <w:rPr>
                <w:rFonts w:hAnsi="宋体"/>
                <w:sz w:val="20"/>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4345" w:type="dxa"/>
            <w:vAlign w:val="center"/>
          </w:tcPr>
          <w:p>
            <w:pPr>
              <w:spacing w:line="280" w:lineRule="exact"/>
              <w:rPr>
                <w:sz w:val="20"/>
                <w:szCs w:val="18"/>
              </w:rPr>
            </w:pPr>
            <w:r>
              <w:rPr>
                <w:rFonts w:hAnsi="宋体"/>
                <w:sz w:val="20"/>
                <w:szCs w:val="18"/>
              </w:rPr>
              <w:t>《</w:t>
            </w:r>
            <w:r>
              <w:rPr>
                <w:sz w:val="20"/>
                <w:szCs w:val="18"/>
              </w:rPr>
              <w:t>SCIENCE</w:t>
            </w:r>
            <w:r>
              <w:rPr>
                <w:rFonts w:hAnsi="宋体"/>
                <w:sz w:val="20"/>
                <w:szCs w:val="18"/>
              </w:rPr>
              <w:t>》、《</w:t>
            </w:r>
            <w:r>
              <w:rPr>
                <w:sz w:val="20"/>
                <w:szCs w:val="18"/>
              </w:rPr>
              <w:t>NATURE</w:t>
            </w:r>
            <w:r>
              <w:rPr>
                <w:rFonts w:hAnsi="宋体"/>
                <w:sz w:val="20"/>
                <w:szCs w:val="18"/>
              </w:rPr>
              <w:t>》</w:t>
            </w:r>
            <w:r>
              <w:rPr>
                <w:rFonts w:hint="eastAsia" w:hAnsi="宋体"/>
                <w:sz w:val="20"/>
                <w:szCs w:val="18"/>
              </w:rPr>
              <w:t>、《CELL》</w:t>
            </w:r>
          </w:p>
        </w:tc>
        <w:tc>
          <w:tcPr>
            <w:tcW w:w="3360" w:type="dxa"/>
            <w:vAlign w:val="center"/>
          </w:tcPr>
          <w:p>
            <w:pPr>
              <w:spacing w:line="280" w:lineRule="exact"/>
              <w:jc w:val="center"/>
              <w:rPr>
                <w:sz w:val="20"/>
                <w:szCs w:val="18"/>
              </w:rPr>
            </w:pPr>
            <w:r>
              <w:rPr>
                <w:sz w:val="20"/>
                <w:szCs w:val="18"/>
              </w:rPr>
              <w:t>1000</w:t>
            </w:r>
          </w:p>
        </w:tc>
        <w:tc>
          <w:tcPr>
            <w:tcW w:w="3632" w:type="dxa"/>
            <w:vMerge w:val="restart"/>
            <w:vAlign w:val="center"/>
          </w:tcPr>
          <w:p>
            <w:pPr>
              <w:spacing w:line="280" w:lineRule="exact"/>
              <w:rPr>
                <w:sz w:val="20"/>
                <w:szCs w:val="18"/>
              </w:rPr>
            </w:pPr>
            <w:r>
              <w:rPr>
                <w:rFonts w:hint="eastAsia"/>
                <w:sz w:val="20"/>
                <w:szCs w:val="18"/>
              </w:rPr>
              <w:t>1</w:t>
            </w:r>
            <w:r>
              <w:rPr>
                <w:rFonts w:hint="eastAsia" w:hAnsi="宋体"/>
                <w:sz w:val="20"/>
                <w:szCs w:val="18"/>
              </w:rPr>
              <w:t xml:space="preserve">. </w:t>
            </w:r>
            <w:r>
              <w:rPr>
                <w:rFonts w:hint="eastAsia"/>
                <w:sz w:val="20"/>
                <w:szCs w:val="18"/>
              </w:rPr>
              <w:t>SCI、SSCI、A</w:t>
            </w:r>
            <w:r>
              <w:rPr>
                <w:rFonts w:hint="eastAsia" w:ascii="宋体" w:hAnsi="宋体"/>
                <w:sz w:val="20"/>
                <w:szCs w:val="18"/>
              </w:rPr>
              <w:t>&amp;</w:t>
            </w:r>
            <w:r>
              <w:rPr>
                <w:rFonts w:hint="eastAsia"/>
                <w:sz w:val="20"/>
                <w:szCs w:val="18"/>
              </w:rPr>
              <w:t>HCI收录的期刊论文类型须为Article 、Review、</w:t>
            </w:r>
            <w:r>
              <w:rPr>
                <w:sz w:val="20"/>
                <w:szCs w:val="18"/>
              </w:rPr>
              <w:t>Editorial Material</w:t>
            </w:r>
            <w:r>
              <w:rPr>
                <w:rFonts w:hint="eastAsia"/>
                <w:sz w:val="20"/>
                <w:szCs w:val="18"/>
              </w:rPr>
              <w:t>、</w:t>
            </w:r>
            <w:r>
              <w:rPr>
                <w:sz w:val="20"/>
                <w:szCs w:val="18"/>
              </w:rPr>
              <w:t>Letter</w:t>
            </w:r>
            <w:r>
              <w:rPr>
                <w:rFonts w:hint="eastAsia"/>
                <w:sz w:val="20"/>
                <w:szCs w:val="18"/>
              </w:rPr>
              <w:t>等学术性论文。</w:t>
            </w:r>
          </w:p>
          <w:p>
            <w:pPr>
              <w:spacing w:line="280" w:lineRule="exact"/>
              <w:rPr>
                <w:sz w:val="20"/>
                <w:szCs w:val="18"/>
              </w:rPr>
            </w:pPr>
            <w:r>
              <w:rPr>
                <w:rFonts w:hint="eastAsia"/>
                <w:sz w:val="20"/>
                <w:szCs w:val="18"/>
              </w:rPr>
              <w:t>2</w:t>
            </w:r>
            <w:r>
              <w:rPr>
                <w:rFonts w:hint="eastAsia" w:hAnsi="宋体"/>
                <w:sz w:val="20"/>
                <w:szCs w:val="18"/>
              </w:rPr>
              <w:t xml:space="preserve">. </w:t>
            </w:r>
            <w:r>
              <w:rPr>
                <w:rFonts w:hint="eastAsia"/>
                <w:sz w:val="20"/>
                <w:szCs w:val="18"/>
              </w:rPr>
              <w:t>被《</w:t>
            </w:r>
            <w:r>
              <w:rPr>
                <w:sz w:val="20"/>
                <w:szCs w:val="18"/>
              </w:rPr>
              <w:t>EI</w:t>
            </w:r>
            <w:r>
              <w:rPr>
                <w:rFonts w:hint="eastAsia"/>
                <w:sz w:val="20"/>
                <w:szCs w:val="18"/>
              </w:rPr>
              <w:t xml:space="preserve"> Compendex》收录的国外期刊论文要求当年期刊境内单位学者占比不超过30%。</w:t>
            </w:r>
          </w:p>
          <w:p>
            <w:pPr>
              <w:spacing w:line="280" w:lineRule="exact"/>
              <w:rPr>
                <w:sz w:val="20"/>
                <w:szCs w:val="18"/>
              </w:rPr>
            </w:pPr>
            <w:r>
              <w:rPr>
                <w:rFonts w:hint="eastAsia"/>
                <w:sz w:val="20"/>
                <w:szCs w:val="18"/>
              </w:rPr>
              <w:t>3</w:t>
            </w:r>
            <w:r>
              <w:rPr>
                <w:rFonts w:hint="eastAsia" w:hAnsi="宋体"/>
                <w:sz w:val="20"/>
                <w:szCs w:val="18"/>
              </w:rPr>
              <w:t xml:space="preserve">. </w:t>
            </w:r>
            <w:r>
              <w:rPr>
                <w:rFonts w:hint="eastAsia"/>
                <w:sz w:val="20"/>
                <w:szCs w:val="18"/>
              </w:rPr>
              <w:t>人大复印资料期刊源须为全文转载的学术专题期刊，不包括原发刊系列、文摘类系列、原发电子期刊等。详见人大报刊复印资料中心最新明细清单。</w:t>
            </w:r>
          </w:p>
          <w:p>
            <w:pPr>
              <w:spacing w:line="280" w:lineRule="exact"/>
              <w:rPr>
                <w:sz w:val="20"/>
                <w:szCs w:val="18"/>
              </w:rPr>
            </w:pPr>
            <w:r>
              <w:rPr>
                <w:rFonts w:hint="eastAsia"/>
                <w:sz w:val="20"/>
                <w:szCs w:val="18"/>
              </w:rPr>
              <w:t>4. SCI分区标准根据</w:t>
            </w:r>
            <w:r>
              <w:rPr>
                <w:sz w:val="20"/>
                <w:szCs w:val="18"/>
              </w:rPr>
              <w:t>中国科学院文献情报中心提供</w:t>
            </w:r>
            <w:r>
              <w:rPr>
                <w:rFonts w:hint="eastAsia"/>
                <w:sz w:val="20"/>
                <w:szCs w:val="18"/>
              </w:rPr>
              <w:t>的最新大类分区；SSCI分区标准根据JCR最新分区。</w:t>
            </w:r>
          </w:p>
          <w:p>
            <w:pPr>
              <w:spacing w:line="280" w:lineRule="exact"/>
              <w:rPr>
                <w:sz w:val="20"/>
                <w:szCs w:val="18"/>
              </w:rPr>
            </w:pPr>
            <w:r>
              <w:rPr>
                <w:rFonts w:hint="eastAsia" w:hAnsi="宋体"/>
                <w:sz w:val="20"/>
                <w:szCs w:val="18"/>
              </w:rPr>
              <w:t>5.《</w:t>
            </w:r>
            <w:r>
              <w:rPr>
                <w:rFonts w:hint="eastAsia"/>
                <w:sz w:val="20"/>
                <w:szCs w:val="18"/>
              </w:rPr>
              <w:t>商业经济与管理》按一级期刊计分不计奖。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4345" w:type="dxa"/>
            <w:vAlign w:val="center"/>
          </w:tcPr>
          <w:p>
            <w:pPr>
              <w:spacing w:line="280" w:lineRule="exact"/>
              <w:rPr>
                <w:sz w:val="20"/>
                <w:szCs w:val="18"/>
              </w:rPr>
            </w:pPr>
            <w:r>
              <w:rPr>
                <w:rFonts w:hAnsi="宋体"/>
                <w:sz w:val="20"/>
                <w:szCs w:val="18"/>
              </w:rPr>
              <w:t>《中国社会科学》</w:t>
            </w:r>
          </w:p>
        </w:tc>
        <w:tc>
          <w:tcPr>
            <w:tcW w:w="3360" w:type="dxa"/>
            <w:vAlign w:val="center"/>
          </w:tcPr>
          <w:p>
            <w:pPr>
              <w:spacing w:line="280" w:lineRule="exact"/>
              <w:jc w:val="center"/>
              <w:rPr>
                <w:sz w:val="20"/>
                <w:szCs w:val="18"/>
              </w:rPr>
            </w:pPr>
            <w:r>
              <w:rPr>
                <w:rFonts w:hint="eastAsia"/>
                <w:sz w:val="20"/>
                <w:szCs w:val="18"/>
              </w:rPr>
              <w:t>100</w:t>
            </w:r>
          </w:p>
        </w:tc>
        <w:tc>
          <w:tcPr>
            <w:tcW w:w="3632" w:type="dxa"/>
            <w:vMerge w:val="continue"/>
          </w:tcPr>
          <w:p>
            <w:pPr>
              <w:spacing w:line="280" w:lineRule="exac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45" w:type="dxa"/>
            <w:vAlign w:val="center"/>
          </w:tcPr>
          <w:p>
            <w:pPr>
              <w:spacing w:line="280" w:lineRule="exact"/>
              <w:rPr>
                <w:sz w:val="20"/>
                <w:szCs w:val="18"/>
              </w:rPr>
            </w:pPr>
            <w:r>
              <w:rPr>
                <w:rFonts w:hAnsi="宋体"/>
                <w:sz w:val="20"/>
                <w:szCs w:val="18"/>
              </w:rPr>
              <w:t>其他特级期刊</w:t>
            </w:r>
            <w:r>
              <w:rPr>
                <w:rFonts w:hint="eastAsia" w:hAnsi="宋体"/>
                <w:sz w:val="20"/>
                <w:szCs w:val="18"/>
              </w:rPr>
              <w:t>、《中国科学》</w:t>
            </w:r>
          </w:p>
        </w:tc>
        <w:tc>
          <w:tcPr>
            <w:tcW w:w="3360" w:type="dxa"/>
            <w:vAlign w:val="center"/>
          </w:tcPr>
          <w:p>
            <w:pPr>
              <w:spacing w:line="280" w:lineRule="exact"/>
              <w:jc w:val="center"/>
              <w:rPr>
                <w:sz w:val="20"/>
                <w:szCs w:val="18"/>
              </w:rPr>
            </w:pPr>
            <w:r>
              <w:rPr>
                <w:rFonts w:hint="eastAsia"/>
                <w:sz w:val="20"/>
                <w:szCs w:val="18"/>
              </w:rPr>
              <w:t>60</w:t>
            </w:r>
          </w:p>
        </w:tc>
        <w:tc>
          <w:tcPr>
            <w:tcW w:w="3632" w:type="dxa"/>
            <w:vMerge w:val="continue"/>
            <w:vAlign w:val="center"/>
          </w:tcPr>
          <w:p>
            <w:pPr>
              <w:spacing w:line="280" w:lineRule="exac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345" w:type="dxa"/>
          </w:tcPr>
          <w:p>
            <w:pPr>
              <w:spacing w:line="280" w:lineRule="exact"/>
              <w:rPr>
                <w:sz w:val="20"/>
                <w:szCs w:val="18"/>
              </w:rPr>
            </w:pPr>
            <w:r>
              <w:rPr>
                <w:rFonts w:hAnsi="宋体"/>
                <w:sz w:val="20"/>
                <w:szCs w:val="18"/>
              </w:rPr>
              <w:t>一级期刊</w:t>
            </w:r>
            <w:r>
              <w:rPr>
                <w:rFonts w:hint="eastAsia" w:hAnsi="宋体"/>
                <w:sz w:val="20"/>
                <w:szCs w:val="18"/>
              </w:rPr>
              <w:t>、《管理世界》短论、</w:t>
            </w:r>
            <w:r>
              <w:rPr>
                <w:rFonts w:hAnsi="宋体"/>
                <w:sz w:val="20"/>
                <w:szCs w:val="18"/>
              </w:rPr>
              <w:t>《人民日报》理论版、《光明日报》理论版</w:t>
            </w:r>
          </w:p>
        </w:tc>
        <w:tc>
          <w:tcPr>
            <w:tcW w:w="3360" w:type="dxa"/>
            <w:vAlign w:val="center"/>
          </w:tcPr>
          <w:p>
            <w:pPr>
              <w:spacing w:line="280" w:lineRule="exact"/>
              <w:jc w:val="center"/>
              <w:rPr>
                <w:sz w:val="20"/>
                <w:szCs w:val="18"/>
              </w:rPr>
            </w:pPr>
            <w:r>
              <w:rPr>
                <w:rFonts w:hint="eastAsia"/>
                <w:sz w:val="20"/>
                <w:szCs w:val="18"/>
              </w:rPr>
              <w:t>20</w:t>
            </w:r>
          </w:p>
        </w:tc>
        <w:tc>
          <w:tcPr>
            <w:tcW w:w="3632" w:type="dxa"/>
            <w:vMerge w:val="continue"/>
          </w:tcPr>
          <w:p>
            <w:pPr>
              <w:spacing w:line="280" w:lineRule="exac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345" w:type="dxa"/>
            <w:vAlign w:val="center"/>
          </w:tcPr>
          <w:p>
            <w:pPr>
              <w:spacing w:line="280" w:lineRule="exact"/>
              <w:rPr>
                <w:sz w:val="20"/>
                <w:szCs w:val="18"/>
              </w:rPr>
            </w:pPr>
            <w:r>
              <w:rPr>
                <w:sz w:val="20"/>
                <w:szCs w:val="18"/>
              </w:rPr>
              <w:t>SCI</w:t>
            </w:r>
            <w:r>
              <w:rPr>
                <w:rFonts w:hAnsi="宋体"/>
                <w:sz w:val="20"/>
                <w:szCs w:val="18"/>
              </w:rPr>
              <w:t>（科学引文索引）收录</w:t>
            </w:r>
            <w:r>
              <w:rPr>
                <w:rFonts w:hint="eastAsia" w:hAnsi="宋体"/>
                <w:sz w:val="20"/>
                <w:szCs w:val="18"/>
              </w:rPr>
              <w:t>的</w:t>
            </w:r>
            <w:r>
              <w:rPr>
                <w:rFonts w:hAnsi="宋体"/>
                <w:sz w:val="20"/>
                <w:szCs w:val="18"/>
              </w:rPr>
              <w:t>期刊论文</w:t>
            </w:r>
          </w:p>
        </w:tc>
        <w:tc>
          <w:tcPr>
            <w:tcW w:w="3360" w:type="dxa"/>
            <w:vAlign w:val="center"/>
          </w:tcPr>
          <w:p>
            <w:pPr>
              <w:spacing w:line="280" w:lineRule="exact"/>
              <w:jc w:val="center"/>
              <w:rPr>
                <w:sz w:val="20"/>
                <w:szCs w:val="18"/>
              </w:rPr>
            </w:pPr>
            <w:r>
              <w:rPr>
                <w:rFonts w:hint="eastAsia"/>
                <w:sz w:val="20"/>
                <w:szCs w:val="18"/>
              </w:rPr>
              <w:t>TOP：60，二区：40，三区24、四区：20</w:t>
            </w:r>
          </w:p>
        </w:tc>
        <w:tc>
          <w:tcPr>
            <w:tcW w:w="3632" w:type="dxa"/>
            <w:vMerge w:val="continue"/>
          </w:tcPr>
          <w:p>
            <w:pPr>
              <w:spacing w:line="280" w:lineRule="exac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4345" w:type="dxa"/>
            <w:vAlign w:val="center"/>
          </w:tcPr>
          <w:p>
            <w:pPr>
              <w:spacing w:line="280" w:lineRule="exact"/>
              <w:rPr>
                <w:sz w:val="20"/>
                <w:szCs w:val="18"/>
              </w:rPr>
            </w:pPr>
            <w:r>
              <w:rPr>
                <w:sz w:val="20"/>
                <w:szCs w:val="18"/>
              </w:rPr>
              <w:t>SSCI</w:t>
            </w:r>
            <w:r>
              <w:rPr>
                <w:rFonts w:hAnsi="宋体"/>
                <w:sz w:val="20"/>
                <w:szCs w:val="18"/>
              </w:rPr>
              <w:t>（社会科学引文索引）收录</w:t>
            </w:r>
            <w:r>
              <w:rPr>
                <w:rFonts w:hint="eastAsia" w:hAnsi="宋体"/>
                <w:sz w:val="20"/>
                <w:szCs w:val="18"/>
              </w:rPr>
              <w:t>的</w:t>
            </w:r>
            <w:r>
              <w:rPr>
                <w:rFonts w:hAnsi="宋体"/>
                <w:sz w:val="20"/>
                <w:szCs w:val="18"/>
              </w:rPr>
              <w:t>期刊论文</w:t>
            </w:r>
          </w:p>
        </w:tc>
        <w:tc>
          <w:tcPr>
            <w:tcW w:w="3360" w:type="dxa"/>
            <w:vAlign w:val="center"/>
          </w:tcPr>
          <w:p>
            <w:pPr>
              <w:spacing w:line="280" w:lineRule="exact"/>
              <w:jc w:val="center"/>
              <w:rPr>
                <w:sz w:val="20"/>
                <w:szCs w:val="18"/>
              </w:rPr>
            </w:pPr>
            <w:r>
              <w:rPr>
                <w:rFonts w:hint="eastAsia"/>
                <w:sz w:val="20"/>
                <w:szCs w:val="18"/>
              </w:rPr>
              <w:t>一区：60，二区：40，三区30、四区：24</w:t>
            </w:r>
          </w:p>
        </w:tc>
        <w:tc>
          <w:tcPr>
            <w:tcW w:w="3632" w:type="dxa"/>
            <w:vMerge w:val="continue"/>
          </w:tcPr>
          <w:p>
            <w:pPr>
              <w:spacing w:line="280" w:lineRule="exac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4345" w:type="dxa"/>
            <w:vAlign w:val="center"/>
          </w:tcPr>
          <w:p>
            <w:pPr>
              <w:spacing w:line="280" w:lineRule="exact"/>
              <w:rPr>
                <w:sz w:val="20"/>
                <w:szCs w:val="18"/>
              </w:rPr>
            </w:pPr>
            <w:r>
              <w:rPr>
                <w:sz w:val="20"/>
                <w:szCs w:val="18"/>
              </w:rPr>
              <w:t>A&amp;HCI</w:t>
            </w:r>
            <w:r>
              <w:rPr>
                <w:rFonts w:hAnsi="宋体"/>
                <w:sz w:val="20"/>
                <w:szCs w:val="18"/>
              </w:rPr>
              <w:t>（艺术与人文科学引文索引）收录</w:t>
            </w:r>
            <w:r>
              <w:rPr>
                <w:rFonts w:hint="eastAsia" w:hAnsi="宋体"/>
                <w:sz w:val="20"/>
                <w:szCs w:val="18"/>
              </w:rPr>
              <w:t>的</w:t>
            </w:r>
            <w:r>
              <w:rPr>
                <w:rFonts w:hAnsi="宋体"/>
                <w:sz w:val="20"/>
                <w:szCs w:val="18"/>
              </w:rPr>
              <w:t>期刊论文</w:t>
            </w:r>
          </w:p>
        </w:tc>
        <w:tc>
          <w:tcPr>
            <w:tcW w:w="3360" w:type="dxa"/>
            <w:vAlign w:val="center"/>
          </w:tcPr>
          <w:p>
            <w:pPr>
              <w:spacing w:line="280" w:lineRule="exact"/>
              <w:jc w:val="center"/>
              <w:rPr>
                <w:sz w:val="20"/>
                <w:szCs w:val="18"/>
              </w:rPr>
            </w:pPr>
            <w:r>
              <w:rPr>
                <w:rFonts w:hint="eastAsia"/>
                <w:sz w:val="20"/>
                <w:szCs w:val="18"/>
              </w:rPr>
              <w:t>40</w:t>
            </w:r>
          </w:p>
        </w:tc>
        <w:tc>
          <w:tcPr>
            <w:tcW w:w="3632" w:type="dxa"/>
            <w:vMerge w:val="continue"/>
          </w:tcPr>
          <w:p>
            <w:pPr>
              <w:spacing w:line="280" w:lineRule="exac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45" w:type="dxa"/>
            <w:vAlign w:val="center"/>
          </w:tcPr>
          <w:p>
            <w:pPr>
              <w:spacing w:line="280" w:lineRule="exact"/>
              <w:rPr>
                <w:sz w:val="20"/>
                <w:szCs w:val="18"/>
              </w:rPr>
            </w:pPr>
            <w:r>
              <w:rPr>
                <w:sz w:val="20"/>
                <w:szCs w:val="18"/>
              </w:rPr>
              <w:t>EI</w:t>
            </w:r>
            <w:r>
              <w:rPr>
                <w:rFonts w:hAnsi="宋体"/>
                <w:sz w:val="20"/>
                <w:szCs w:val="18"/>
              </w:rPr>
              <w:t>（工程索引）收录期刊论文</w:t>
            </w:r>
          </w:p>
        </w:tc>
        <w:tc>
          <w:tcPr>
            <w:tcW w:w="3360" w:type="dxa"/>
            <w:vAlign w:val="center"/>
          </w:tcPr>
          <w:p>
            <w:pPr>
              <w:spacing w:line="280" w:lineRule="exact"/>
              <w:jc w:val="center"/>
              <w:rPr>
                <w:sz w:val="20"/>
                <w:szCs w:val="18"/>
              </w:rPr>
            </w:pPr>
            <w:r>
              <w:rPr>
                <w:rFonts w:hint="eastAsia"/>
                <w:sz w:val="20"/>
                <w:szCs w:val="18"/>
              </w:rPr>
              <w:t>20</w:t>
            </w:r>
          </w:p>
        </w:tc>
        <w:tc>
          <w:tcPr>
            <w:tcW w:w="3632" w:type="dxa"/>
            <w:vMerge w:val="continue"/>
          </w:tcPr>
          <w:p>
            <w:pPr>
              <w:spacing w:line="280" w:lineRule="exac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5" w:type="dxa"/>
            <w:vAlign w:val="center"/>
          </w:tcPr>
          <w:p>
            <w:pPr>
              <w:spacing w:line="280" w:lineRule="exact"/>
              <w:rPr>
                <w:sz w:val="20"/>
                <w:szCs w:val="18"/>
              </w:rPr>
            </w:pPr>
            <w:r>
              <w:rPr>
                <w:rFonts w:hint="eastAsia" w:hAnsi="宋体"/>
                <w:sz w:val="20"/>
                <w:szCs w:val="18"/>
              </w:rPr>
              <w:t>ESI论文（高被引论文Highly Cited Papers</w:t>
            </w:r>
            <w:r>
              <w:rPr>
                <w:rFonts w:hAnsi="宋体"/>
                <w:sz w:val="20"/>
                <w:szCs w:val="18"/>
              </w:rPr>
              <w:t>）</w:t>
            </w:r>
          </w:p>
        </w:tc>
        <w:tc>
          <w:tcPr>
            <w:tcW w:w="3360" w:type="dxa"/>
            <w:vAlign w:val="center"/>
          </w:tcPr>
          <w:p>
            <w:pPr>
              <w:spacing w:line="280" w:lineRule="exact"/>
              <w:jc w:val="center"/>
              <w:rPr>
                <w:sz w:val="20"/>
                <w:szCs w:val="18"/>
              </w:rPr>
            </w:pPr>
            <w:r>
              <w:rPr>
                <w:rFonts w:hint="eastAsia"/>
                <w:sz w:val="20"/>
                <w:szCs w:val="18"/>
              </w:rPr>
              <w:t>120</w:t>
            </w:r>
          </w:p>
        </w:tc>
        <w:tc>
          <w:tcPr>
            <w:tcW w:w="3632" w:type="dxa"/>
          </w:tcPr>
          <w:p>
            <w:pPr>
              <w:spacing w:line="280" w:lineRule="exact"/>
              <w:rPr>
                <w:sz w:val="20"/>
                <w:szCs w:val="18"/>
              </w:rPr>
            </w:pPr>
            <w:r>
              <w:rPr>
                <w:rFonts w:hint="eastAsia"/>
                <w:sz w:val="20"/>
                <w:szCs w:val="18"/>
              </w:rPr>
              <w:t>ESI论文即最近10年间各研究领域中被引频次排名位于全球前1%的论文；需提供有效证明材料。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5" w:type="dxa"/>
            <w:vAlign w:val="center"/>
          </w:tcPr>
          <w:p>
            <w:pPr>
              <w:spacing w:line="280" w:lineRule="exact"/>
              <w:rPr>
                <w:sz w:val="20"/>
                <w:szCs w:val="18"/>
              </w:rPr>
            </w:pPr>
            <w:r>
              <w:rPr>
                <w:rFonts w:hint="eastAsia" w:hAnsi="宋体"/>
                <w:sz w:val="20"/>
                <w:szCs w:val="18"/>
              </w:rPr>
              <w:t>经学院学术委员会推荐的水平较高</w:t>
            </w:r>
            <w:r>
              <w:rPr>
                <w:rFonts w:hAnsi="宋体"/>
                <w:sz w:val="20"/>
                <w:szCs w:val="18"/>
              </w:rPr>
              <w:t>的</w:t>
            </w:r>
            <w:r>
              <w:rPr>
                <w:rFonts w:hint="eastAsia" w:hAnsi="宋体"/>
                <w:sz w:val="20"/>
                <w:szCs w:val="18"/>
              </w:rPr>
              <w:t>学术性</w:t>
            </w:r>
            <w:r>
              <w:rPr>
                <w:rFonts w:hAnsi="宋体"/>
                <w:sz w:val="20"/>
                <w:szCs w:val="18"/>
              </w:rPr>
              <w:t>专著</w:t>
            </w:r>
          </w:p>
        </w:tc>
        <w:tc>
          <w:tcPr>
            <w:tcW w:w="3360" w:type="dxa"/>
            <w:vAlign w:val="center"/>
          </w:tcPr>
          <w:p>
            <w:pPr>
              <w:spacing w:line="280" w:lineRule="exact"/>
              <w:jc w:val="center"/>
              <w:rPr>
                <w:sz w:val="20"/>
                <w:szCs w:val="18"/>
              </w:rPr>
            </w:pPr>
            <w:r>
              <w:rPr>
                <w:rFonts w:hint="eastAsia"/>
                <w:sz w:val="20"/>
                <w:szCs w:val="18"/>
              </w:rPr>
              <w:t>50</w:t>
            </w:r>
          </w:p>
        </w:tc>
        <w:tc>
          <w:tcPr>
            <w:tcW w:w="3632" w:type="dxa"/>
          </w:tcPr>
          <w:p>
            <w:pPr>
              <w:spacing w:line="280" w:lineRule="exact"/>
              <w:rPr>
                <w:sz w:val="20"/>
                <w:szCs w:val="18"/>
              </w:rPr>
            </w:pPr>
            <w:r>
              <w:rPr>
                <w:rFonts w:hint="eastAsia"/>
                <w:sz w:val="20"/>
                <w:szCs w:val="18"/>
              </w:rPr>
              <w:t>1. 推荐部数</w:t>
            </w:r>
            <w:r>
              <w:rPr>
                <w:rFonts w:hint="eastAsia" w:ascii="宋体" w:hAnsi="宋体"/>
                <w:sz w:val="20"/>
                <w:szCs w:val="18"/>
              </w:rPr>
              <w:t>≤</w:t>
            </w:r>
            <w:r>
              <w:rPr>
                <w:rFonts w:hint="eastAsia"/>
                <w:sz w:val="20"/>
                <w:szCs w:val="18"/>
              </w:rPr>
              <w:t>当年学院</w:t>
            </w:r>
            <w:r>
              <w:rPr>
                <w:rFonts w:hint="eastAsia" w:hAnsi="宋体"/>
                <w:sz w:val="20"/>
                <w:szCs w:val="18"/>
              </w:rPr>
              <w:t>学术性、研究性</w:t>
            </w:r>
            <w:r>
              <w:rPr>
                <w:rFonts w:hint="eastAsia"/>
                <w:sz w:val="20"/>
                <w:szCs w:val="18"/>
              </w:rPr>
              <w:t>专著总数的50%；如当年学院专著数只有1本，则上报学校学术委员会审定。</w:t>
            </w:r>
          </w:p>
          <w:p>
            <w:pPr>
              <w:spacing w:line="280" w:lineRule="exact"/>
              <w:rPr>
                <w:sz w:val="20"/>
                <w:szCs w:val="18"/>
              </w:rPr>
            </w:pPr>
            <w:r>
              <w:rPr>
                <w:rFonts w:hint="eastAsia"/>
                <w:sz w:val="20"/>
                <w:szCs w:val="18"/>
              </w:rPr>
              <w:t>2.专著字数</w:t>
            </w:r>
            <w:r>
              <w:rPr>
                <w:rFonts w:hint="eastAsia" w:ascii="宋体" w:hAnsi="宋体"/>
                <w:sz w:val="20"/>
                <w:szCs w:val="18"/>
              </w:rPr>
              <w:t>≤20万字的计</w:t>
            </w:r>
            <w:r>
              <w:rPr>
                <w:rFonts w:hint="eastAsia"/>
                <w:sz w:val="20"/>
                <w:szCs w:val="18"/>
              </w:rPr>
              <w:t>2.5分；如超过20万字，则每万字计0.05分，总分不超过5分。</w:t>
            </w:r>
          </w:p>
          <w:p>
            <w:pPr>
              <w:spacing w:line="280" w:lineRule="exact"/>
              <w:rPr>
                <w:sz w:val="20"/>
                <w:szCs w:val="18"/>
              </w:rPr>
            </w:pPr>
            <w:r>
              <w:rPr>
                <w:rFonts w:hint="eastAsia"/>
                <w:sz w:val="20"/>
                <w:szCs w:val="18"/>
              </w:rPr>
              <w:t>3. 当年所有的专著须经学校组织的资格审查。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5" w:type="dxa"/>
            <w:vAlign w:val="center"/>
          </w:tcPr>
          <w:p>
            <w:pPr>
              <w:spacing w:line="280" w:lineRule="exact"/>
              <w:rPr>
                <w:rFonts w:hAnsi="宋体"/>
                <w:sz w:val="20"/>
                <w:szCs w:val="18"/>
              </w:rPr>
            </w:pPr>
            <w:r>
              <w:rPr>
                <w:rFonts w:hint="eastAsia" w:hAnsi="宋体"/>
                <w:sz w:val="20"/>
                <w:szCs w:val="18"/>
              </w:rPr>
              <w:t>二级期刊</w:t>
            </w:r>
          </w:p>
        </w:tc>
        <w:tc>
          <w:tcPr>
            <w:tcW w:w="3360" w:type="dxa"/>
            <w:vAlign w:val="center"/>
          </w:tcPr>
          <w:p>
            <w:pPr>
              <w:spacing w:line="280" w:lineRule="exact"/>
              <w:jc w:val="center"/>
              <w:rPr>
                <w:sz w:val="20"/>
                <w:szCs w:val="18"/>
              </w:rPr>
            </w:pPr>
            <w:r>
              <w:rPr>
                <w:rFonts w:hint="eastAsia"/>
                <w:sz w:val="20"/>
                <w:szCs w:val="18"/>
              </w:rPr>
              <w:t>10</w:t>
            </w:r>
          </w:p>
        </w:tc>
        <w:tc>
          <w:tcPr>
            <w:tcW w:w="3632" w:type="dxa"/>
          </w:tcPr>
          <w:p>
            <w:pPr>
              <w:spacing w:line="280" w:lineRule="exac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5" w:type="dxa"/>
            <w:vAlign w:val="center"/>
          </w:tcPr>
          <w:p>
            <w:pPr>
              <w:spacing w:line="280" w:lineRule="exact"/>
              <w:rPr>
                <w:rFonts w:hAnsi="宋体"/>
                <w:sz w:val="20"/>
                <w:szCs w:val="18"/>
              </w:rPr>
            </w:pPr>
            <w:r>
              <w:rPr>
                <w:rFonts w:hint="eastAsia" w:hAnsi="宋体"/>
                <w:sz w:val="20"/>
                <w:szCs w:val="18"/>
              </w:rPr>
              <w:t>三级期刊</w:t>
            </w:r>
          </w:p>
        </w:tc>
        <w:tc>
          <w:tcPr>
            <w:tcW w:w="3360" w:type="dxa"/>
            <w:vAlign w:val="center"/>
          </w:tcPr>
          <w:p>
            <w:pPr>
              <w:spacing w:line="280" w:lineRule="exact"/>
              <w:jc w:val="center"/>
              <w:rPr>
                <w:sz w:val="20"/>
                <w:szCs w:val="18"/>
              </w:rPr>
            </w:pPr>
            <w:r>
              <w:rPr>
                <w:rFonts w:hint="eastAsia"/>
                <w:sz w:val="20"/>
                <w:szCs w:val="18"/>
              </w:rPr>
              <w:t>2</w:t>
            </w:r>
          </w:p>
        </w:tc>
        <w:tc>
          <w:tcPr>
            <w:tcW w:w="3632" w:type="dxa"/>
          </w:tcPr>
          <w:p>
            <w:pPr>
              <w:spacing w:line="280" w:lineRule="exact"/>
              <w:rPr>
                <w:sz w:val="20"/>
                <w:szCs w:val="18"/>
              </w:rPr>
            </w:pPr>
            <w:r>
              <w:rPr>
                <w:rFonts w:hint="eastAsia"/>
                <w:sz w:val="20"/>
                <w:szCs w:val="18"/>
              </w:rPr>
              <w:t>最高累加不超过3分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5" w:type="dxa"/>
            <w:vAlign w:val="center"/>
          </w:tcPr>
          <w:p>
            <w:pPr>
              <w:spacing w:line="280" w:lineRule="exact"/>
              <w:rPr>
                <w:rFonts w:hAnsi="宋体"/>
                <w:sz w:val="20"/>
                <w:szCs w:val="18"/>
              </w:rPr>
            </w:pPr>
            <w:r>
              <w:rPr>
                <w:rFonts w:hint="eastAsia" w:hAnsi="宋体"/>
                <w:sz w:val="18"/>
                <w:szCs w:val="18"/>
              </w:rPr>
              <w:t>C刊期刊论文/北大核心刊物</w:t>
            </w:r>
          </w:p>
        </w:tc>
        <w:tc>
          <w:tcPr>
            <w:tcW w:w="3360" w:type="dxa"/>
            <w:vAlign w:val="center"/>
          </w:tcPr>
          <w:p>
            <w:pPr>
              <w:spacing w:line="280" w:lineRule="exact"/>
              <w:jc w:val="center"/>
              <w:rPr>
                <w:sz w:val="20"/>
                <w:szCs w:val="18"/>
              </w:rPr>
            </w:pPr>
            <w:r>
              <w:rPr>
                <w:rFonts w:hint="eastAsia"/>
                <w:sz w:val="20"/>
                <w:szCs w:val="18"/>
              </w:rPr>
              <w:t>8/4</w:t>
            </w:r>
          </w:p>
        </w:tc>
        <w:tc>
          <w:tcPr>
            <w:tcW w:w="3632" w:type="dxa"/>
          </w:tcPr>
          <w:p>
            <w:pPr>
              <w:spacing w:line="280" w:lineRule="exac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5" w:type="dxa"/>
            <w:vAlign w:val="center"/>
          </w:tcPr>
          <w:p>
            <w:pPr>
              <w:spacing w:line="280" w:lineRule="exact"/>
              <w:rPr>
                <w:rFonts w:hAnsi="宋体"/>
                <w:sz w:val="18"/>
                <w:szCs w:val="18"/>
              </w:rPr>
            </w:pPr>
            <w:r>
              <w:rPr>
                <w:rFonts w:hint="eastAsia" w:hAnsi="宋体"/>
                <w:sz w:val="18"/>
                <w:szCs w:val="18"/>
              </w:rPr>
              <w:t>校内面向学生的省级课题</w:t>
            </w:r>
          </w:p>
        </w:tc>
        <w:tc>
          <w:tcPr>
            <w:tcW w:w="3360" w:type="dxa"/>
            <w:vAlign w:val="center"/>
          </w:tcPr>
          <w:p>
            <w:pPr>
              <w:spacing w:line="280" w:lineRule="exact"/>
              <w:jc w:val="center"/>
              <w:rPr>
                <w:sz w:val="20"/>
                <w:szCs w:val="18"/>
              </w:rPr>
            </w:pPr>
            <w:r>
              <w:rPr>
                <w:rFonts w:hint="eastAsia"/>
                <w:sz w:val="20"/>
                <w:szCs w:val="18"/>
              </w:rPr>
              <w:t>6</w:t>
            </w:r>
          </w:p>
        </w:tc>
        <w:tc>
          <w:tcPr>
            <w:tcW w:w="3632" w:type="dxa"/>
          </w:tcPr>
          <w:p>
            <w:pPr>
              <w:spacing w:line="280" w:lineRule="exact"/>
              <w:rPr>
                <w:rFonts w:hint="default" w:eastAsia="宋体"/>
                <w:sz w:val="20"/>
                <w:szCs w:val="18"/>
                <w:lang w:val="en-US" w:eastAsia="zh-CN"/>
              </w:rPr>
            </w:pPr>
            <w:r>
              <w:rPr>
                <w:rFonts w:hint="eastAsia"/>
                <w:sz w:val="20"/>
                <w:szCs w:val="18"/>
                <w:lang w:val="en-US" w:eastAsia="zh-CN"/>
              </w:rPr>
              <w:t>仅限学生主持的课题</w:t>
            </w:r>
          </w:p>
        </w:tc>
      </w:tr>
    </w:tbl>
    <w:p>
      <w:pPr>
        <w:spacing w:line="280" w:lineRule="exact"/>
        <w:rPr>
          <w:sz w:val="22"/>
        </w:rPr>
      </w:pPr>
    </w:p>
    <w:tbl>
      <w:tblPr>
        <w:tblStyle w:val="7"/>
        <w:tblW w:w="11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5"/>
        <w:gridCol w:w="1785"/>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127" w:type="dxa"/>
            <w:gridSpan w:val="3"/>
            <w:vAlign w:val="center"/>
          </w:tcPr>
          <w:p>
            <w:pPr>
              <w:spacing w:line="280" w:lineRule="exact"/>
              <w:jc w:val="center"/>
              <w:rPr>
                <w:sz w:val="20"/>
                <w:szCs w:val="18"/>
              </w:rPr>
            </w:pPr>
            <w:r>
              <w:rPr>
                <w:rFonts w:hAnsi="宋体"/>
                <w:b/>
                <w:sz w:val="20"/>
                <w:szCs w:val="18"/>
              </w:rPr>
              <w:t>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15" w:type="dxa"/>
            <w:vAlign w:val="center"/>
          </w:tcPr>
          <w:p>
            <w:pPr>
              <w:spacing w:line="280" w:lineRule="exact"/>
              <w:jc w:val="center"/>
              <w:rPr>
                <w:sz w:val="20"/>
                <w:szCs w:val="18"/>
              </w:rPr>
            </w:pPr>
            <w:r>
              <w:rPr>
                <w:rFonts w:hAnsi="宋体"/>
                <w:sz w:val="20"/>
                <w:szCs w:val="18"/>
              </w:rPr>
              <w:t>专利或标准</w:t>
            </w:r>
          </w:p>
        </w:tc>
        <w:tc>
          <w:tcPr>
            <w:tcW w:w="1785" w:type="dxa"/>
            <w:vAlign w:val="center"/>
          </w:tcPr>
          <w:p>
            <w:pPr>
              <w:spacing w:line="280" w:lineRule="exact"/>
              <w:jc w:val="center"/>
              <w:rPr>
                <w:sz w:val="20"/>
                <w:szCs w:val="18"/>
              </w:rPr>
            </w:pPr>
            <w:r>
              <w:rPr>
                <w:rFonts w:hAnsi="宋体"/>
                <w:sz w:val="20"/>
                <w:szCs w:val="18"/>
              </w:rPr>
              <w:t>分值</w:t>
            </w:r>
          </w:p>
        </w:tc>
        <w:tc>
          <w:tcPr>
            <w:tcW w:w="2727" w:type="dxa"/>
          </w:tcPr>
          <w:p>
            <w:pPr>
              <w:spacing w:line="280" w:lineRule="exact"/>
              <w:jc w:val="center"/>
              <w:rPr>
                <w:sz w:val="20"/>
                <w:szCs w:val="18"/>
              </w:rPr>
            </w:pPr>
            <w:r>
              <w:rPr>
                <w:rFonts w:hAnsi="宋体"/>
                <w:sz w:val="20"/>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615" w:type="dxa"/>
            <w:vAlign w:val="center"/>
          </w:tcPr>
          <w:p>
            <w:pPr>
              <w:spacing w:line="280" w:lineRule="exact"/>
              <w:rPr>
                <w:sz w:val="20"/>
                <w:szCs w:val="18"/>
              </w:rPr>
            </w:pPr>
            <w:r>
              <w:rPr>
                <w:rFonts w:hAnsi="宋体"/>
                <w:sz w:val="20"/>
                <w:szCs w:val="18"/>
              </w:rPr>
              <w:t>被授权的美日欧发明专利</w:t>
            </w:r>
          </w:p>
        </w:tc>
        <w:tc>
          <w:tcPr>
            <w:tcW w:w="1785" w:type="dxa"/>
            <w:vAlign w:val="center"/>
          </w:tcPr>
          <w:p>
            <w:pPr>
              <w:spacing w:line="280" w:lineRule="exact"/>
              <w:jc w:val="center"/>
              <w:rPr>
                <w:sz w:val="20"/>
                <w:szCs w:val="18"/>
              </w:rPr>
            </w:pPr>
            <w:r>
              <w:rPr>
                <w:sz w:val="20"/>
                <w:szCs w:val="18"/>
              </w:rPr>
              <w:t>80</w:t>
            </w:r>
          </w:p>
        </w:tc>
        <w:tc>
          <w:tcPr>
            <w:tcW w:w="2727" w:type="dxa"/>
            <w:vMerge w:val="restart"/>
            <w:vAlign w:val="center"/>
          </w:tcPr>
          <w:p>
            <w:pPr>
              <w:spacing w:line="280" w:lineRule="exac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6615" w:type="dxa"/>
            <w:vAlign w:val="center"/>
          </w:tcPr>
          <w:p>
            <w:pPr>
              <w:spacing w:line="280" w:lineRule="exact"/>
              <w:rPr>
                <w:sz w:val="20"/>
                <w:szCs w:val="18"/>
              </w:rPr>
            </w:pPr>
            <w:r>
              <w:rPr>
                <w:rFonts w:hAnsi="宋体"/>
                <w:sz w:val="20"/>
                <w:szCs w:val="18"/>
              </w:rPr>
              <w:t>被授权的其它国家或地区发明专利</w:t>
            </w:r>
          </w:p>
        </w:tc>
        <w:tc>
          <w:tcPr>
            <w:tcW w:w="1785" w:type="dxa"/>
            <w:vAlign w:val="center"/>
          </w:tcPr>
          <w:p>
            <w:pPr>
              <w:spacing w:line="280" w:lineRule="exact"/>
              <w:jc w:val="center"/>
              <w:rPr>
                <w:sz w:val="20"/>
                <w:szCs w:val="18"/>
              </w:rPr>
            </w:pPr>
            <w:r>
              <w:rPr>
                <w:sz w:val="20"/>
                <w:szCs w:val="18"/>
              </w:rPr>
              <w:t>40</w:t>
            </w:r>
          </w:p>
        </w:tc>
        <w:tc>
          <w:tcPr>
            <w:tcW w:w="2727" w:type="dxa"/>
            <w:vMerge w:val="continue"/>
          </w:tcPr>
          <w:p>
            <w:pPr>
              <w:spacing w:line="28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6615" w:type="dxa"/>
            <w:vAlign w:val="center"/>
          </w:tcPr>
          <w:p>
            <w:pPr>
              <w:spacing w:line="280" w:lineRule="exact"/>
              <w:rPr>
                <w:sz w:val="20"/>
                <w:szCs w:val="18"/>
              </w:rPr>
            </w:pPr>
            <w:r>
              <w:rPr>
                <w:rFonts w:hAnsi="宋体"/>
                <w:sz w:val="20"/>
                <w:szCs w:val="18"/>
              </w:rPr>
              <w:t>被授权的国内发明专利</w:t>
            </w:r>
          </w:p>
        </w:tc>
        <w:tc>
          <w:tcPr>
            <w:tcW w:w="1785" w:type="dxa"/>
            <w:vAlign w:val="center"/>
          </w:tcPr>
          <w:p>
            <w:pPr>
              <w:spacing w:line="280" w:lineRule="exact"/>
              <w:jc w:val="center"/>
              <w:rPr>
                <w:sz w:val="20"/>
                <w:szCs w:val="18"/>
              </w:rPr>
            </w:pPr>
            <w:r>
              <w:rPr>
                <w:rFonts w:hint="eastAsia"/>
                <w:sz w:val="20"/>
                <w:szCs w:val="18"/>
              </w:rPr>
              <w:t>24</w:t>
            </w:r>
          </w:p>
        </w:tc>
        <w:tc>
          <w:tcPr>
            <w:tcW w:w="2727" w:type="dxa"/>
            <w:vMerge w:val="continue"/>
          </w:tcPr>
          <w:p>
            <w:pPr>
              <w:spacing w:line="28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6615" w:type="dxa"/>
            <w:vAlign w:val="center"/>
          </w:tcPr>
          <w:p>
            <w:pPr>
              <w:spacing w:line="280" w:lineRule="exact"/>
              <w:rPr>
                <w:sz w:val="20"/>
                <w:szCs w:val="18"/>
              </w:rPr>
            </w:pPr>
            <w:r>
              <w:rPr>
                <w:rFonts w:hAnsi="宋体"/>
                <w:sz w:val="20"/>
                <w:szCs w:val="18"/>
              </w:rPr>
              <w:t>正式发布的国际标准</w:t>
            </w:r>
          </w:p>
        </w:tc>
        <w:tc>
          <w:tcPr>
            <w:tcW w:w="1785" w:type="dxa"/>
            <w:vAlign w:val="center"/>
          </w:tcPr>
          <w:p>
            <w:pPr>
              <w:spacing w:line="280" w:lineRule="exact"/>
              <w:jc w:val="center"/>
              <w:rPr>
                <w:sz w:val="20"/>
                <w:szCs w:val="18"/>
              </w:rPr>
            </w:pPr>
            <w:r>
              <w:rPr>
                <w:rFonts w:hint="eastAsia"/>
                <w:sz w:val="20"/>
                <w:szCs w:val="18"/>
              </w:rPr>
              <w:t>120</w:t>
            </w:r>
          </w:p>
        </w:tc>
        <w:tc>
          <w:tcPr>
            <w:tcW w:w="2727" w:type="dxa"/>
            <w:vMerge w:val="restart"/>
            <w:vAlign w:val="center"/>
          </w:tcPr>
          <w:p>
            <w:pPr>
              <w:spacing w:line="280" w:lineRule="exac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6615" w:type="dxa"/>
            <w:vAlign w:val="center"/>
          </w:tcPr>
          <w:p>
            <w:pPr>
              <w:spacing w:line="280" w:lineRule="exact"/>
              <w:rPr>
                <w:sz w:val="20"/>
                <w:szCs w:val="18"/>
              </w:rPr>
            </w:pPr>
            <w:r>
              <w:rPr>
                <w:rFonts w:hAnsi="宋体"/>
                <w:sz w:val="20"/>
                <w:szCs w:val="18"/>
              </w:rPr>
              <w:t>正式发布的</w:t>
            </w:r>
            <w:r>
              <w:rPr>
                <w:rFonts w:hint="eastAsia" w:hAnsi="宋体"/>
                <w:sz w:val="20"/>
                <w:szCs w:val="18"/>
              </w:rPr>
              <w:t>强制性</w:t>
            </w:r>
            <w:r>
              <w:rPr>
                <w:rFonts w:hAnsi="宋体"/>
                <w:sz w:val="20"/>
                <w:szCs w:val="18"/>
              </w:rPr>
              <w:t>国家标准</w:t>
            </w:r>
          </w:p>
        </w:tc>
        <w:tc>
          <w:tcPr>
            <w:tcW w:w="1785" w:type="dxa"/>
            <w:vAlign w:val="center"/>
          </w:tcPr>
          <w:p>
            <w:pPr>
              <w:spacing w:line="280" w:lineRule="exact"/>
              <w:jc w:val="center"/>
              <w:rPr>
                <w:sz w:val="20"/>
                <w:szCs w:val="18"/>
              </w:rPr>
            </w:pPr>
            <w:r>
              <w:rPr>
                <w:rFonts w:hint="eastAsia"/>
                <w:sz w:val="20"/>
                <w:szCs w:val="18"/>
              </w:rPr>
              <w:t>80</w:t>
            </w:r>
          </w:p>
        </w:tc>
        <w:tc>
          <w:tcPr>
            <w:tcW w:w="2727" w:type="dxa"/>
            <w:vMerge w:val="continue"/>
          </w:tcPr>
          <w:p>
            <w:pPr>
              <w:spacing w:line="28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6615" w:type="dxa"/>
            <w:vAlign w:val="center"/>
          </w:tcPr>
          <w:p>
            <w:pPr>
              <w:spacing w:line="280" w:lineRule="exact"/>
              <w:rPr>
                <w:sz w:val="20"/>
                <w:szCs w:val="18"/>
              </w:rPr>
            </w:pPr>
            <w:r>
              <w:rPr>
                <w:rFonts w:hAnsi="宋体"/>
                <w:sz w:val="20"/>
                <w:szCs w:val="18"/>
              </w:rPr>
              <w:t>正式发布的</w:t>
            </w:r>
            <w:r>
              <w:rPr>
                <w:rFonts w:hint="eastAsia" w:hAnsi="宋体"/>
                <w:sz w:val="20"/>
                <w:szCs w:val="18"/>
              </w:rPr>
              <w:t>推荐性</w:t>
            </w:r>
            <w:r>
              <w:rPr>
                <w:rFonts w:hAnsi="宋体"/>
                <w:sz w:val="20"/>
                <w:szCs w:val="18"/>
              </w:rPr>
              <w:t>国家标准</w:t>
            </w:r>
            <w:r>
              <w:rPr>
                <w:rFonts w:hint="eastAsia" w:hAnsi="宋体"/>
                <w:sz w:val="20"/>
                <w:szCs w:val="18"/>
              </w:rPr>
              <w:t>或强制性</w:t>
            </w:r>
            <w:r>
              <w:rPr>
                <w:rFonts w:hAnsi="宋体"/>
                <w:sz w:val="20"/>
                <w:szCs w:val="18"/>
              </w:rPr>
              <w:t>行业标准</w:t>
            </w:r>
          </w:p>
        </w:tc>
        <w:tc>
          <w:tcPr>
            <w:tcW w:w="1785" w:type="dxa"/>
            <w:vAlign w:val="center"/>
          </w:tcPr>
          <w:p>
            <w:pPr>
              <w:spacing w:line="280" w:lineRule="exact"/>
              <w:jc w:val="center"/>
              <w:rPr>
                <w:sz w:val="20"/>
                <w:szCs w:val="18"/>
              </w:rPr>
            </w:pPr>
            <w:r>
              <w:rPr>
                <w:rFonts w:hint="eastAsia"/>
                <w:sz w:val="20"/>
                <w:szCs w:val="18"/>
              </w:rPr>
              <w:t>40</w:t>
            </w:r>
          </w:p>
        </w:tc>
        <w:tc>
          <w:tcPr>
            <w:tcW w:w="2727" w:type="dxa"/>
            <w:vMerge w:val="continue"/>
          </w:tcPr>
          <w:p>
            <w:pPr>
              <w:spacing w:line="28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127" w:type="dxa"/>
            <w:gridSpan w:val="3"/>
            <w:vAlign w:val="center"/>
          </w:tcPr>
          <w:p>
            <w:pPr>
              <w:spacing w:line="280" w:lineRule="exact"/>
              <w:jc w:val="center"/>
              <w:rPr>
                <w:sz w:val="20"/>
                <w:szCs w:val="18"/>
              </w:rPr>
            </w:pPr>
            <w:r>
              <w:rPr>
                <w:rFonts w:hAnsi="宋体"/>
                <w:b/>
                <w:sz w:val="20"/>
                <w:szCs w:val="18"/>
              </w:rPr>
              <w:t>高层次科研项目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615" w:type="dxa"/>
            <w:vAlign w:val="center"/>
          </w:tcPr>
          <w:p>
            <w:pPr>
              <w:spacing w:line="280" w:lineRule="exact"/>
              <w:jc w:val="center"/>
              <w:rPr>
                <w:sz w:val="20"/>
                <w:szCs w:val="18"/>
              </w:rPr>
            </w:pPr>
            <w:r>
              <w:rPr>
                <w:rFonts w:hAnsi="宋体"/>
                <w:sz w:val="20"/>
                <w:szCs w:val="18"/>
              </w:rPr>
              <w:t>项目类</w:t>
            </w:r>
            <w:r>
              <w:rPr>
                <w:rFonts w:hint="eastAsia" w:hAnsi="宋体"/>
                <w:sz w:val="20"/>
                <w:szCs w:val="18"/>
              </w:rPr>
              <w:t>型、</w:t>
            </w:r>
            <w:r>
              <w:rPr>
                <w:rFonts w:hAnsi="宋体"/>
                <w:sz w:val="20"/>
                <w:szCs w:val="18"/>
              </w:rPr>
              <w:t>级别</w:t>
            </w:r>
            <w:r>
              <w:rPr>
                <w:rFonts w:hint="eastAsia" w:hAnsi="宋体"/>
                <w:sz w:val="20"/>
                <w:szCs w:val="18"/>
              </w:rPr>
              <w:t>和验收（结题）后累积到款经费</w:t>
            </w:r>
          </w:p>
        </w:tc>
        <w:tc>
          <w:tcPr>
            <w:tcW w:w="1785" w:type="dxa"/>
            <w:vAlign w:val="center"/>
          </w:tcPr>
          <w:p>
            <w:pPr>
              <w:spacing w:line="280" w:lineRule="exact"/>
              <w:jc w:val="center"/>
              <w:rPr>
                <w:sz w:val="20"/>
                <w:szCs w:val="18"/>
              </w:rPr>
            </w:pPr>
            <w:r>
              <w:rPr>
                <w:rFonts w:hAnsi="宋体"/>
                <w:sz w:val="20"/>
                <w:szCs w:val="18"/>
              </w:rPr>
              <w:t>分值</w:t>
            </w:r>
          </w:p>
        </w:tc>
        <w:tc>
          <w:tcPr>
            <w:tcW w:w="2727" w:type="dxa"/>
          </w:tcPr>
          <w:p>
            <w:pPr>
              <w:spacing w:line="280" w:lineRule="exact"/>
              <w:jc w:val="center"/>
              <w:rPr>
                <w:sz w:val="20"/>
                <w:szCs w:val="18"/>
              </w:rPr>
            </w:pPr>
            <w:r>
              <w:rPr>
                <w:rFonts w:hAnsi="宋体"/>
                <w:sz w:val="20"/>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5" w:type="dxa"/>
          </w:tcPr>
          <w:p>
            <w:pPr>
              <w:spacing w:line="280" w:lineRule="exact"/>
              <w:jc w:val="left"/>
              <w:rPr>
                <w:rFonts w:hAnsi="宋体"/>
                <w:sz w:val="20"/>
                <w:szCs w:val="18"/>
              </w:rPr>
            </w:pPr>
            <w:r>
              <w:rPr>
                <w:rFonts w:hint="eastAsia"/>
                <w:sz w:val="20"/>
                <w:szCs w:val="18"/>
              </w:rPr>
              <w:t>国家杰出青年科学基金、</w:t>
            </w:r>
            <w:r>
              <w:rPr>
                <w:sz w:val="20"/>
                <w:szCs w:val="18"/>
              </w:rPr>
              <w:t>国家973计划</w:t>
            </w:r>
            <w:r>
              <w:rPr>
                <w:rFonts w:hint="eastAsia"/>
                <w:sz w:val="20"/>
                <w:szCs w:val="18"/>
              </w:rPr>
              <w:t>项目</w:t>
            </w:r>
          </w:p>
        </w:tc>
        <w:tc>
          <w:tcPr>
            <w:tcW w:w="1785" w:type="dxa"/>
            <w:vAlign w:val="center"/>
          </w:tcPr>
          <w:p>
            <w:pPr>
              <w:spacing w:line="280" w:lineRule="exact"/>
              <w:jc w:val="center"/>
              <w:rPr>
                <w:sz w:val="20"/>
                <w:szCs w:val="18"/>
              </w:rPr>
            </w:pPr>
            <w:r>
              <w:rPr>
                <w:rFonts w:hint="eastAsia"/>
                <w:sz w:val="20"/>
                <w:szCs w:val="18"/>
              </w:rPr>
              <w:t xml:space="preserve"> 300</w:t>
            </w:r>
          </w:p>
        </w:tc>
        <w:tc>
          <w:tcPr>
            <w:tcW w:w="2727" w:type="dxa"/>
            <w:vMerge w:val="restart"/>
          </w:tcPr>
          <w:p>
            <w:pPr>
              <w:spacing w:line="280" w:lineRule="exact"/>
              <w:rPr>
                <w:rFonts w:hAnsi="宋体"/>
                <w:sz w:val="20"/>
                <w:szCs w:val="18"/>
              </w:rPr>
            </w:pPr>
            <w:r>
              <w:rPr>
                <w:rFonts w:hint="eastAsia" w:hAnsi="宋体"/>
                <w:sz w:val="20"/>
                <w:szCs w:val="18"/>
              </w:rPr>
              <w:t>1. 其它国家级项目（课题）指：其他国家科技计划项目（课题）、教育部人文社科研究项目、全国教育规划项目、国家自然基金</w:t>
            </w:r>
            <w:r>
              <w:rPr>
                <w:rFonts w:hAnsi="宋体"/>
                <w:sz w:val="20"/>
                <w:szCs w:val="18"/>
              </w:rPr>
              <w:t>组织间合作交流项目和组织间学术会议项目</w:t>
            </w:r>
            <w:r>
              <w:rPr>
                <w:rFonts w:hint="eastAsia" w:hAnsi="宋体"/>
                <w:sz w:val="20"/>
                <w:szCs w:val="18"/>
              </w:rPr>
              <w:t>和</w:t>
            </w:r>
            <w:r>
              <w:fldChar w:fldCharType="begin"/>
            </w:r>
            <w:r>
              <w:instrText xml:space="preserve"> HYPERLINK "http://www.nsfc.gov.cn/nsfc/cen/xmzn/2014xmzn/14/04.html" </w:instrText>
            </w:r>
            <w:r>
              <w:fldChar w:fldCharType="separate"/>
            </w:r>
            <w:r>
              <w:rPr>
                <w:rFonts w:hAnsi="宋体"/>
                <w:sz w:val="20"/>
                <w:szCs w:val="18"/>
              </w:rPr>
              <w:t>在华国际（地区）学术会议项目</w:t>
            </w:r>
            <w:r>
              <w:rPr>
                <w:rFonts w:hAnsi="宋体"/>
                <w:sz w:val="20"/>
                <w:szCs w:val="18"/>
              </w:rPr>
              <w:fldChar w:fldCharType="end"/>
            </w:r>
            <w:r>
              <w:rPr>
                <w:rFonts w:hint="eastAsia" w:hAnsi="宋体"/>
                <w:sz w:val="20"/>
                <w:szCs w:val="18"/>
              </w:rPr>
              <w:t>。</w:t>
            </w:r>
          </w:p>
          <w:p>
            <w:pPr>
              <w:spacing w:line="280" w:lineRule="exact"/>
              <w:rPr>
                <w:rFonts w:hAnsi="宋体"/>
                <w:sz w:val="20"/>
                <w:szCs w:val="18"/>
              </w:rPr>
            </w:pPr>
            <w:r>
              <w:rPr>
                <w:rFonts w:hint="eastAsia"/>
                <w:sz w:val="20"/>
                <w:szCs w:val="18"/>
              </w:rPr>
              <w:t>2</w:t>
            </w:r>
            <w:r>
              <w:rPr>
                <w:rFonts w:hint="eastAsia" w:hAnsi="宋体"/>
                <w:sz w:val="20"/>
                <w:szCs w:val="18"/>
              </w:rPr>
              <w:t xml:space="preserve">. </w:t>
            </w:r>
            <w:r>
              <w:rPr>
                <w:rFonts w:hAnsi="宋体"/>
                <w:sz w:val="20"/>
                <w:szCs w:val="18"/>
              </w:rPr>
              <w:t>自筹项目</w:t>
            </w:r>
            <w:r>
              <w:rPr>
                <w:rFonts w:hint="eastAsia" w:hAnsi="宋体"/>
                <w:sz w:val="20"/>
                <w:szCs w:val="18"/>
              </w:rPr>
              <w:t>（课题）</w:t>
            </w:r>
            <w:r>
              <w:rPr>
                <w:rFonts w:hAnsi="宋体"/>
                <w:sz w:val="20"/>
                <w:szCs w:val="18"/>
              </w:rPr>
              <w:t>减半计分</w:t>
            </w:r>
            <w:r>
              <w:rPr>
                <w:rFonts w:hint="eastAsia" w:hAnsi="宋体"/>
                <w:sz w:val="20"/>
                <w:szCs w:val="18"/>
              </w:rPr>
              <w:t>。</w:t>
            </w:r>
          </w:p>
          <w:p>
            <w:pPr>
              <w:spacing w:line="280" w:lineRule="exact"/>
              <w:rPr>
                <w:rFonts w:hAnsi="宋体"/>
                <w:sz w:val="20"/>
                <w:szCs w:val="18"/>
              </w:rPr>
            </w:pPr>
            <w:r>
              <w:rPr>
                <w:rFonts w:hint="eastAsia"/>
                <w:sz w:val="20"/>
                <w:szCs w:val="18"/>
              </w:rPr>
              <w:t>3</w:t>
            </w:r>
            <w:r>
              <w:rPr>
                <w:rFonts w:hint="eastAsia" w:hAnsi="宋体"/>
                <w:sz w:val="20"/>
                <w:szCs w:val="18"/>
              </w:rPr>
              <w:t>. 项目计分以立项批文时间为准。</w:t>
            </w:r>
          </w:p>
          <w:p>
            <w:pPr>
              <w:spacing w:line="280" w:lineRule="exact"/>
              <w:rPr>
                <w:rFonts w:hAnsi="宋体"/>
                <w:sz w:val="20"/>
                <w:szCs w:val="18"/>
              </w:rPr>
            </w:pPr>
            <w:r>
              <w:rPr>
                <w:rFonts w:hint="eastAsia" w:hAnsi="宋体"/>
                <w:sz w:val="20"/>
                <w:szCs w:val="18"/>
              </w:rPr>
              <w:t>4. 由于政策原因，我校不能作为主持单位，但我校学生为主持人的项目，按到款的财政经费占总经费的比例计相应的级别分。</w:t>
            </w:r>
          </w:p>
          <w:p>
            <w:pPr>
              <w:spacing w:line="280" w:lineRule="exact"/>
              <w:rPr>
                <w:rFonts w:hAnsi="宋体"/>
                <w:sz w:val="20"/>
                <w:szCs w:val="18"/>
              </w:rPr>
            </w:pPr>
            <w:r>
              <w:rPr>
                <w:rFonts w:hint="eastAsia" w:hAnsi="宋体"/>
                <w:sz w:val="20"/>
                <w:szCs w:val="18"/>
              </w:rPr>
              <w:t>5. 理工科类、人文社科类项目的划分，按照科研项目申报时所属学科类别分类。</w:t>
            </w:r>
          </w:p>
          <w:p>
            <w:pPr>
              <w:spacing w:line="280" w:lineRule="exact"/>
              <w:rPr>
                <w:rFonts w:hint="eastAsia" w:hAnsi="宋体"/>
                <w:sz w:val="20"/>
                <w:szCs w:val="18"/>
              </w:rPr>
            </w:pPr>
            <w:r>
              <w:rPr>
                <w:rFonts w:hint="eastAsia" w:hAnsi="宋体"/>
                <w:sz w:val="20"/>
                <w:szCs w:val="18"/>
              </w:rPr>
              <w:t>6. 国家</w:t>
            </w:r>
            <w:r>
              <w:rPr>
                <w:rFonts w:hAnsi="宋体"/>
                <w:sz w:val="20"/>
                <w:szCs w:val="18"/>
              </w:rPr>
              <w:t>社</w:t>
            </w:r>
            <w:r>
              <w:rPr>
                <w:rFonts w:hint="eastAsia" w:hAnsi="宋体"/>
                <w:sz w:val="20"/>
                <w:szCs w:val="18"/>
              </w:rPr>
              <w:t>会</w:t>
            </w:r>
            <w:r>
              <w:rPr>
                <w:rFonts w:hAnsi="宋体"/>
                <w:sz w:val="20"/>
                <w:szCs w:val="18"/>
              </w:rPr>
              <w:t>科</w:t>
            </w:r>
            <w:r>
              <w:rPr>
                <w:rFonts w:hint="eastAsia" w:hAnsi="宋体"/>
                <w:sz w:val="20"/>
                <w:szCs w:val="18"/>
              </w:rPr>
              <w:t>学</w:t>
            </w:r>
            <w:r>
              <w:rPr>
                <w:rFonts w:hAnsi="宋体"/>
                <w:sz w:val="20"/>
                <w:szCs w:val="18"/>
              </w:rPr>
              <w:t>基金</w:t>
            </w:r>
            <w:r>
              <w:rPr>
                <w:rFonts w:hint="eastAsia" w:hAnsi="宋体"/>
                <w:sz w:val="20"/>
                <w:szCs w:val="18"/>
              </w:rPr>
              <w:t>重大项目</w:t>
            </w:r>
            <w:r>
              <w:rPr>
                <w:rFonts w:hint="eastAsia" w:ascii="宋体" w:hAnsi="宋体"/>
                <w:kern w:val="0"/>
                <w:sz w:val="20"/>
                <w:szCs w:val="18"/>
              </w:rPr>
              <w:t>子课题、教育部哲学社会科学研究重大课题攻关项目子课题，分别按</w:t>
            </w:r>
            <w:r>
              <w:rPr>
                <w:rFonts w:hAnsi="宋体"/>
                <w:sz w:val="20"/>
                <w:szCs w:val="18"/>
              </w:rPr>
              <w:t>其它国家级科研项目</w:t>
            </w:r>
            <w:r>
              <w:rPr>
                <w:rFonts w:hint="eastAsia" w:hAnsi="宋体"/>
                <w:sz w:val="20"/>
                <w:szCs w:val="18"/>
              </w:rPr>
              <w:t>、教育部人文社科研究项目标准计级别分（须有与主持单位的合作协议、申报书及批文，并由主持单位加盖公章确认）。</w:t>
            </w:r>
          </w:p>
          <w:p>
            <w:pPr>
              <w:spacing w:line="280" w:lineRule="exact"/>
              <w:rPr>
                <w:rFonts w:hAnsi="宋体"/>
                <w:sz w:val="20"/>
                <w:szCs w:val="18"/>
              </w:rPr>
            </w:pPr>
            <w:r>
              <w:rPr>
                <w:rFonts w:hint="eastAsia" w:hAnsi="宋体"/>
                <w:sz w:val="20"/>
                <w:szCs w:val="18"/>
              </w:rPr>
              <w:t>7.</w:t>
            </w:r>
            <w:r>
              <w:rPr>
                <w:rFonts w:hint="eastAsia"/>
              </w:rPr>
              <w:t xml:space="preserve"> </w:t>
            </w:r>
            <w:r>
              <w:rPr>
                <w:rFonts w:hint="eastAsia" w:hAnsi="宋体"/>
                <w:sz w:val="20"/>
                <w:szCs w:val="18"/>
              </w:rPr>
              <w:t>课题立项加50%，结题后加50%.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5" w:type="dxa"/>
          </w:tcPr>
          <w:p>
            <w:pPr>
              <w:spacing w:line="280" w:lineRule="exact"/>
              <w:jc w:val="left"/>
              <w:rPr>
                <w:sz w:val="20"/>
                <w:szCs w:val="18"/>
              </w:rPr>
            </w:pPr>
            <w:r>
              <w:fldChar w:fldCharType="begin"/>
            </w:r>
            <w:r>
              <w:instrText xml:space="preserve"> HYPERLINK "http://www.863.gov.cn/" \t "_blank" </w:instrText>
            </w:r>
            <w:r>
              <w:fldChar w:fldCharType="separate"/>
            </w:r>
            <w:r>
              <w:rPr>
                <w:rFonts w:hAnsi="宋体"/>
                <w:sz w:val="20"/>
                <w:szCs w:val="18"/>
              </w:rPr>
              <w:t>国家863计划</w:t>
            </w:r>
            <w:r>
              <w:rPr>
                <w:rFonts w:hAnsi="宋体"/>
                <w:sz w:val="20"/>
                <w:szCs w:val="18"/>
              </w:rPr>
              <w:fldChar w:fldCharType="end"/>
            </w:r>
            <w:r>
              <w:rPr>
                <w:rFonts w:hint="eastAsia"/>
                <w:sz w:val="20"/>
                <w:szCs w:val="18"/>
              </w:rPr>
              <w:t>项目、国家</w:t>
            </w:r>
            <w:r>
              <w:rPr>
                <w:rFonts w:hAnsi="宋体"/>
                <w:sz w:val="20"/>
                <w:szCs w:val="18"/>
              </w:rPr>
              <w:t>社科基金</w:t>
            </w:r>
            <w:r>
              <w:rPr>
                <w:rFonts w:hint="eastAsia" w:hAnsi="宋体"/>
                <w:sz w:val="20"/>
                <w:szCs w:val="18"/>
              </w:rPr>
              <w:t>重大项目、</w:t>
            </w:r>
            <w:r>
              <w:rPr>
                <w:rFonts w:hAnsi="宋体"/>
                <w:sz w:val="20"/>
                <w:szCs w:val="18"/>
              </w:rPr>
              <w:t>国家自然基金</w:t>
            </w:r>
            <w:r>
              <w:rPr>
                <w:rFonts w:hint="eastAsia" w:hAnsi="宋体"/>
                <w:sz w:val="20"/>
                <w:szCs w:val="18"/>
              </w:rPr>
              <w:t>重大项目、国家科技重大专项、国家科技支撑计划项目</w:t>
            </w:r>
          </w:p>
        </w:tc>
        <w:tc>
          <w:tcPr>
            <w:tcW w:w="1785" w:type="dxa"/>
            <w:vAlign w:val="center"/>
          </w:tcPr>
          <w:p>
            <w:pPr>
              <w:spacing w:line="280" w:lineRule="exact"/>
              <w:jc w:val="center"/>
              <w:rPr>
                <w:sz w:val="20"/>
                <w:szCs w:val="18"/>
              </w:rPr>
            </w:pPr>
            <w:r>
              <w:rPr>
                <w:rFonts w:hint="eastAsia"/>
                <w:sz w:val="20"/>
                <w:szCs w:val="18"/>
              </w:rPr>
              <w:t>240</w:t>
            </w:r>
          </w:p>
        </w:tc>
        <w:tc>
          <w:tcPr>
            <w:tcW w:w="2727" w:type="dxa"/>
            <w:vMerge w:val="continue"/>
          </w:tcPr>
          <w:p>
            <w:pPr>
              <w:spacing w:line="280" w:lineRule="exact"/>
              <w:rPr>
                <w:rFonts w:hAnsi="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5" w:type="dxa"/>
          </w:tcPr>
          <w:p>
            <w:pPr>
              <w:spacing w:line="280" w:lineRule="exact"/>
              <w:jc w:val="left"/>
              <w:rPr>
                <w:sz w:val="20"/>
                <w:szCs w:val="18"/>
              </w:rPr>
            </w:pPr>
            <w:r>
              <w:rPr>
                <w:rFonts w:hint="eastAsia" w:ascii="宋体" w:hAnsi="宋体"/>
                <w:kern w:val="0"/>
                <w:sz w:val="20"/>
                <w:szCs w:val="18"/>
              </w:rPr>
              <w:t>教育部哲学社会科学研究重大课题攻关项目、</w:t>
            </w:r>
            <w:r>
              <w:rPr>
                <w:sz w:val="20"/>
                <w:szCs w:val="18"/>
              </w:rPr>
              <w:t>国家973计划</w:t>
            </w:r>
            <w:r>
              <w:rPr>
                <w:rFonts w:hint="eastAsia"/>
                <w:sz w:val="20"/>
                <w:szCs w:val="18"/>
              </w:rPr>
              <w:t>课题和前期研究专项、</w:t>
            </w:r>
            <w:r>
              <w:fldChar w:fldCharType="begin"/>
            </w:r>
            <w:r>
              <w:instrText xml:space="preserve"> HYPERLINK "http://www.863.gov.cn/" \t "_blank" </w:instrText>
            </w:r>
            <w:r>
              <w:fldChar w:fldCharType="separate"/>
            </w:r>
            <w:r>
              <w:rPr>
                <w:rFonts w:hAnsi="宋体"/>
                <w:sz w:val="20"/>
                <w:szCs w:val="18"/>
              </w:rPr>
              <w:t>国家863计划</w:t>
            </w:r>
            <w:r>
              <w:rPr>
                <w:rFonts w:hAnsi="宋体"/>
                <w:sz w:val="20"/>
                <w:szCs w:val="18"/>
              </w:rPr>
              <w:fldChar w:fldCharType="end"/>
            </w:r>
            <w:r>
              <w:rPr>
                <w:rFonts w:hint="eastAsia"/>
                <w:sz w:val="20"/>
                <w:szCs w:val="18"/>
              </w:rPr>
              <w:t>课题、国家国际合作项目</w:t>
            </w:r>
            <w:r>
              <w:rPr>
                <w:rFonts w:hint="eastAsia"/>
                <w:kern w:val="0"/>
                <w:sz w:val="20"/>
                <w:szCs w:val="18"/>
              </w:rPr>
              <w:t>、国家自然基金</w:t>
            </w:r>
            <w:r>
              <w:rPr>
                <w:rFonts w:hint="eastAsia"/>
                <w:sz w:val="20"/>
                <w:szCs w:val="18"/>
              </w:rPr>
              <w:t>优秀青年科学基金项目、</w:t>
            </w:r>
            <w:r>
              <w:rPr>
                <w:rFonts w:hAnsi="宋体"/>
                <w:sz w:val="20"/>
                <w:szCs w:val="18"/>
              </w:rPr>
              <w:t>国家自然基金</w:t>
            </w:r>
            <w:r>
              <w:rPr>
                <w:rFonts w:hint="eastAsia" w:hAnsi="宋体"/>
                <w:sz w:val="20"/>
                <w:szCs w:val="18"/>
              </w:rPr>
              <w:t>重点项目、</w:t>
            </w:r>
            <w:r>
              <w:rPr>
                <w:rFonts w:hAnsi="宋体"/>
                <w:sz w:val="20"/>
                <w:szCs w:val="18"/>
              </w:rPr>
              <w:t>国家社科基金</w:t>
            </w:r>
            <w:r>
              <w:rPr>
                <w:rFonts w:hint="eastAsia" w:hAnsi="宋体"/>
                <w:sz w:val="20"/>
                <w:szCs w:val="18"/>
              </w:rPr>
              <w:t>重点项目</w:t>
            </w:r>
          </w:p>
        </w:tc>
        <w:tc>
          <w:tcPr>
            <w:tcW w:w="1785" w:type="dxa"/>
            <w:vAlign w:val="center"/>
          </w:tcPr>
          <w:p>
            <w:pPr>
              <w:spacing w:line="280" w:lineRule="exact"/>
              <w:jc w:val="center"/>
              <w:rPr>
                <w:rFonts w:hAnsi="宋体"/>
                <w:sz w:val="20"/>
                <w:szCs w:val="18"/>
              </w:rPr>
            </w:pPr>
            <w:r>
              <w:rPr>
                <w:rFonts w:hint="eastAsia" w:hAnsi="宋体"/>
                <w:sz w:val="20"/>
                <w:szCs w:val="18"/>
              </w:rPr>
              <w:t>120</w:t>
            </w:r>
          </w:p>
        </w:tc>
        <w:tc>
          <w:tcPr>
            <w:tcW w:w="2727" w:type="dxa"/>
            <w:vMerge w:val="continue"/>
          </w:tcPr>
          <w:p>
            <w:pPr>
              <w:spacing w:line="280" w:lineRule="exact"/>
              <w:rPr>
                <w:rFonts w:hAnsi="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5" w:type="dxa"/>
          </w:tcPr>
          <w:p>
            <w:pPr>
              <w:spacing w:line="280" w:lineRule="exact"/>
              <w:jc w:val="left"/>
              <w:rPr>
                <w:sz w:val="20"/>
                <w:szCs w:val="18"/>
              </w:rPr>
            </w:pPr>
            <w:r>
              <w:rPr>
                <w:rFonts w:hAnsi="宋体"/>
                <w:sz w:val="20"/>
                <w:szCs w:val="18"/>
              </w:rPr>
              <w:t>其它国家自然基金</w:t>
            </w:r>
            <w:r>
              <w:rPr>
                <w:rFonts w:hint="eastAsia" w:hAnsi="宋体"/>
                <w:sz w:val="20"/>
                <w:szCs w:val="18"/>
              </w:rPr>
              <w:t>项目</w:t>
            </w:r>
            <w:r>
              <w:rPr>
                <w:rFonts w:hAnsi="宋体"/>
                <w:sz w:val="20"/>
                <w:szCs w:val="18"/>
              </w:rPr>
              <w:t>、国家社科基金</w:t>
            </w:r>
            <w:r>
              <w:rPr>
                <w:rFonts w:hint="eastAsia" w:hAnsi="宋体"/>
                <w:sz w:val="20"/>
                <w:szCs w:val="18"/>
              </w:rPr>
              <w:t>项目</w:t>
            </w:r>
          </w:p>
        </w:tc>
        <w:tc>
          <w:tcPr>
            <w:tcW w:w="1785" w:type="dxa"/>
            <w:vAlign w:val="center"/>
          </w:tcPr>
          <w:p>
            <w:pPr>
              <w:spacing w:line="280" w:lineRule="exact"/>
              <w:jc w:val="center"/>
              <w:rPr>
                <w:sz w:val="20"/>
                <w:szCs w:val="18"/>
              </w:rPr>
            </w:pPr>
            <w:r>
              <w:rPr>
                <w:rFonts w:hint="eastAsia"/>
                <w:sz w:val="20"/>
                <w:szCs w:val="18"/>
              </w:rPr>
              <w:t>80</w:t>
            </w:r>
          </w:p>
        </w:tc>
        <w:tc>
          <w:tcPr>
            <w:tcW w:w="2727" w:type="dxa"/>
            <w:vMerge w:val="continue"/>
          </w:tcPr>
          <w:p>
            <w:pPr>
              <w:spacing w:line="28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5" w:type="dxa"/>
          </w:tcPr>
          <w:p>
            <w:pPr>
              <w:spacing w:line="280" w:lineRule="exact"/>
              <w:jc w:val="left"/>
              <w:rPr>
                <w:sz w:val="20"/>
                <w:szCs w:val="18"/>
              </w:rPr>
            </w:pPr>
            <w:r>
              <w:rPr>
                <w:rFonts w:hAnsi="宋体"/>
                <w:sz w:val="20"/>
                <w:szCs w:val="18"/>
              </w:rPr>
              <w:t>其它国家级重点及以上科研项目</w:t>
            </w:r>
          </w:p>
        </w:tc>
        <w:tc>
          <w:tcPr>
            <w:tcW w:w="1785" w:type="dxa"/>
            <w:vAlign w:val="center"/>
          </w:tcPr>
          <w:p>
            <w:pPr>
              <w:spacing w:line="280" w:lineRule="exact"/>
              <w:jc w:val="center"/>
              <w:rPr>
                <w:sz w:val="20"/>
                <w:szCs w:val="18"/>
              </w:rPr>
            </w:pPr>
            <w:r>
              <w:rPr>
                <w:rFonts w:hint="eastAsia"/>
                <w:sz w:val="20"/>
                <w:szCs w:val="18"/>
              </w:rPr>
              <w:t>70</w:t>
            </w:r>
          </w:p>
        </w:tc>
        <w:tc>
          <w:tcPr>
            <w:tcW w:w="2727" w:type="dxa"/>
            <w:vMerge w:val="continue"/>
          </w:tcPr>
          <w:p>
            <w:pPr>
              <w:spacing w:line="28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5" w:type="dxa"/>
          </w:tcPr>
          <w:p>
            <w:pPr>
              <w:spacing w:line="280" w:lineRule="exact"/>
              <w:jc w:val="left"/>
              <w:rPr>
                <w:sz w:val="20"/>
                <w:szCs w:val="18"/>
              </w:rPr>
            </w:pPr>
            <w:r>
              <w:rPr>
                <w:rFonts w:hAnsi="宋体"/>
                <w:sz w:val="20"/>
                <w:szCs w:val="18"/>
              </w:rPr>
              <w:t>其它国家级科研项目</w:t>
            </w:r>
          </w:p>
        </w:tc>
        <w:tc>
          <w:tcPr>
            <w:tcW w:w="1785" w:type="dxa"/>
            <w:vAlign w:val="center"/>
          </w:tcPr>
          <w:p>
            <w:pPr>
              <w:spacing w:line="280" w:lineRule="exact"/>
              <w:jc w:val="center"/>
              <w:rPr>
                <w:sz w:val="20"/>
                <w:szCs w:val="18"/>
              </w:rPr>
            </w:pPr>
            <w:r>
              <w:rPr>
                <w:rFonts w:hint="eastAsia"/>
                <w:sz w:val="20"/>
                <w:szCs w:val="18"/>
              </w:rPr>
              <w:t>60</w:t>
            </w:r>
          </w:p>
        </w:tc>
        <w:tc>
          <w:tcPr>
            <w:tcW w:w="2727" w:type="dxa"/>
            <w:vMerge w:val="continue"/>
          </w:tcPr>
          <w:p>
            <w:pPr>
              <w:spacing w:line="28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5" w:type="dxa"/>
          </w:tcPr>
          <w:p>
            <w:pPr>
              <w:spacing w:line="280" w:lineRule="exact"/>
              <w:jc w:val="left"/>
              <w:rPr>
                <w:rFonts w:hAnsi="宋体"/>
                <w:sz w:val="20"/>
                <w:szCs w:val="18"/>
              </w:rPr>
            </w:pPr>
            <w:r>
              <w:rPr>
                <w:rFonts w:hint="eastAsia" w:hAnsi="宋体"/>
                <w:sz w:val="20"/>
                <w:szCs w:val="18"/>
              </w:rPr>
              <w:t>重大省部级科研项目、</w:t>
            </w:r>
            <w:r>
              <w:rPr>
                <w:rFonts w:hint="eastAsia"/>
                <w:sz w:val="20"/>
                <w:szCs w:val="18"/>
              </w:rPr>
              <w:t>高等学校博士学科点专项科研基金优先发展领域</w:t>
            </w:r>
          </w:p>
        </w:tc>
        <w:tc>
          <w:tcPr>
            <w:tcW w:w="1785" w:type="dxa"/>
            <w:vAlign w:val="center"/>
          </w:tcPr>
          <w:p>
            <w:pPr>
              <w:spacing w:line="280" w:lineRule="exact"/>
              <w:jc w:val="center"/>
              <w:rPr>
                <w:sz w:val="20"/>
                <w:szCs w:val="18"/>
              </w:rPr>
            </w:pPr>
            <w:r>
              <w:rPr>
                <w:rFonts w:hint="eastAsia"/>
                <w:sz w:val="20"/>
                <w:szCs w:val="18"/>
              </w:rPr>
              <w:t>50</w:t>
            </w:r>
          </w:p>
        </w:tc>
        <w:tc>
          <w:tcPr>
            <w:tcW w:w="2727" w:type="dxa"/>
            <w:vMerge w:val="continue"/>
          </w:tcPr>
          <w:p>
            <w:pPr>
              <w:spacing w:line="28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5" w:type="dxa"/>
          </w:tcPr>
          <w:p>
            <w:pPr>
              <w:spacing w:line="280" w:lineRule="exact"/>
              <w:jc w:val="left"/>
              <w:rPr>
                <w:sz w:val="20"/>
                <w:szCs w:val="18"/>
              </w:rPr>
            </w:pPr>
            <w:r>
              <w:rPr>
                <w:rFonts w:hAnsi="宋体"/>
                <w:sz w:val="20"/>
                <w:szCs w:val="18"/>
              </w:rPr>
              <w:t>重点及以上省自然基金</w:t>
            </w:r>
            <w:r>
              <w:rPr>
                <w:rFonts w:hint="eastAsia" w:hAnsi="宋体"/>
                <w:sz w:val="20"/>
                <w:szCs w:val="18"/>
              </w:rPr>
              <w:t>和</w:t>
            </w:r>
            <w:r>
              <w:rPr>
                <w:rFonts w:hAnsi="宋体"/>
                <w:sz w:val="20"/>
                <w:szCs w:val="18"/>
              </w:rPr>
              <w:t>省社科基金</w:t>
            </w:r>
            <w:r>
              <w:rPr>
                <w:rFonts w:hint="eastAsia" w:hAnsi="宋体"/>
                <w:sz w:val="20"/>
                <w:szCs w:val="18"/>
              </w:rPr>
              <w:t>、</w:t>
            </w:r>
            <w:r>
              <w:rPr>
                <w:rFonts w:hint="eastAsia"/>
                <w:sz w:val="20"/>
                <w:szCs w:val="18"/>
              </w:rPr>
              <w:t>高等学校博士学科点专项科研基金博导类</w:t>
            </w:r>
          </w:p>
        </w:tc>
        <w:tc>
          <w:tcPr>
            <w:tcW w:w="1785" w:type="dxa"/>
            <w:vAlign w:val="center"/>
          </w:tcPr>
          <w:p>
            <w:pPr>
              <w:spacing w:line="280" w:lineRule="exact"/>
              <w:jc w:val="center"/>
              <w:rPr>
                <w:sz w:val="20"/>
                <w:szCs w:val="18"/>
              </w:rPr>
            </w:pPr>
            <w:r>
              <w:rPr>
                <w:rFonts w:hint="eastAsia"/>
                <w:sz w:val="20"/>
                <w:szCs w:val="18"/>
              </w:rPr>
              <w:t>40</w:t>
            </w:r>
          </w:p>
        </w:tc>
        <w:tc>
          <w:tcPr>
            <w:tcW w:w="2727" w:type="dxa"/>
            <w:vMerge w:val="continue"/>
          </w:tcPr>
          <w:p>
            <w:pPr>
              <w:spacing w:line="28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5" w:type="dxa"/>
          </w:tcPr>
          <w:p>
            <w:pPr>
              <w:spacing w:line="280" w:lineRule="exact"/>
              <w:jc w:val="left"/>
              <w:rPr>
                <w:sz w:val="20"/>
                <w:szCs w:val="18"/>
              </w:rPr>
            </w:pPr>
            <w:r>
              <w:rPr>
                <w:rFonts w:hAnsi="宋体"/>
                <w:sz w:val="20"/>
                <w:szCs w:val="18"/>
              </w:rPr>
              <w:t>省自然基金、省社科基金</w:t>
            </w:r>
            <w:r>
              <w:rPr>
                <w:rFonts w:hint="eastAsia"/>
                <w:kern w:val="0"/>
                <w:sz w:val="20"/>
                <w:szCs w:val="18"/>
              </w:rPr>
              <w:t>、</w:t>
            </w:r>
            <w:r>
              <w:rPr>
                <w:rFonts w:hint="eastAsia"/>
                <w:sz w:val="20"/>
                <w:szCs w:val="18"/>
              </w:rPr>
              <w:t>高等学校博士学科点专项科研基金新教师类、</w:t>
            </w:r>
            <w:r>
              <w:rPr>
                <w:rFonts w:hAnsi="宋体"/>
                <w:sz w:val="20"/>
                <w:szCs w:val="18"/>
              </w:rPr>
              <w:t>其它重点省</w:t>
            </w:r>
            <w:r>
              <w:rPr>
                <w:rFonts w:hint="eastAsia" w:hAnsi="宋体"/>
                <w:sz w:val="20"/>
                <w:szCs w:val="18"/>
              </w:rPr>
              <w:t>部</w:t>
            </w:r>
            <w:r>
              <w:rPr>
                <w:rFonts w:hAnsi="宋体"/>
                <w:sz w:val="20"/>
                <w:szCs w:val="18"/>
              </w:rPr>
              <w:t>级科研项目</w:t>
            </w:r>
            <w:r>
              <w:rPr>
                <w:rFonts w:hint="eastAsia"/>
                <w:kern w:val="0"/>
                <w:sz w:val="20"/>
                <w:szCs w:val="18"/>
              </w:rPr>
              <w:t>、</w:t>
            </w:r>
            <w:r>
              <w:rPr>
                <w:sz w:val="20"/>
                <w:szCs w:val="18"/>
              </w:rPr>
              <w:t>浙江省高校重大人文社科项目攻关计划项目</w:t>
            </w:r>
            <w:r>
              <w:rPr>
                <w:rFonts w:hint="eastAsia"/>
                <w:sz w:val="20"/>
                <w:szCs w:val="18"/>
              </w:rPr>
              <w:t>规划重点</w:t>
            </w:r>
          </w:p>
        </w:tc>
        <w:tc>
          <w:tcPr>
            <w:tcW w:w="1785" w:type="dxa"/>
            <w:vAlign w:val="center"/>
          </w:tcPr>
          <w:p>
            <w:pPr>
              <w:spacing w:line="280" w:lineRule="exact"/>
              <w:jc w:val="center"/>
              <w:rPr>
                <w:sz w:val="20"/>
                <w:szCs w:val="18"/>
              </w:rPr>
            </w:pPr>
            <w:r>
              <w:rPr>
                <w:sz w:val="20"/>
                <w:szCs w:val="18"/>
              </w:rPr>
              <w:t>30</w:t>
            </w:r>
          </w:p>
        </w:tc>
        <w:tc>
          <w:tcPr>
            <w:tcW w:w="2727" w:type="dxa"/>
            <w:vMerge w:val="continue"/>
          </w:tcPr>
          <w:p>
            <w:pPr>
              <w:spacing w:line="28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5" w:type="dxa"/>
          </w:tcPr>
          <w:p>
            <w:pPr>
              <w:spacing w:line="280" w:lineRule="exact"/>
              <w:rPr>
                <w:sz w:val="20"/>
                <w:szCs w:val="18"/>
              </w:rPr>
            </w:pPr>
            <w:r>
              <w:rPr>
                <w:rFonts w:hAnsi="宋体"/>
                <w:sz w:val="20"/>
                <w:szCs w:val="18"/>
              </w:rPr>
              <w:t>其它省</w:t>
            </w:r>
            <w:r>
              <w:rPr>
                <w:rFonts w:hint="eastAsia" w:hAnsi="宋体"/>
                <w:sz w:val="20"/>
                <w:szCs w:val="18"/>
              </w:rPr>
              <w:t>部</w:t>
            </w:r>
            <w:r>
              <w:rPr>
                <w:rFonts w:hAnsi="宋体"/>
                <w:sz w:val="20"/>
                <w:szCs w:val="18"/>
              </w:rPr>
              <w:t>级科研项目</w:t>
            </w:r>
            <w:r>
              <w:rPr>
                <w:rFonts w:hint="eastAsia"/>
                <w:kern w:val="0"/>
                <w:sz w:val="20"/>
                <w:szCs w:val="18"/>
              </w:rPr>
              <w:t>、</w:t>
            </w:r>
            <w:r>
              <w:rPr>
                <w:sz w:val="20"/>
                <w:szCs w:val="18"/>
              </w:rPr>
              <w:t>浙江省高校重大人文社科项目攻关计划项目</w:t>
            </w:r>
            <w:r>
              <w:rPr>
                <w:rFonts w:hint="eastAsia"/>
                <w:sz w:val="20"/>
                <w:szCs w:val="18"/>
              </w:rPr>
              <w:t>青年重点</w:t>
            </w:r>
          </w:p>
        </w:tc>
        <w:tc>
          <w:tcPr>
            <w:tcW w:w="1785" w:type="dxa"/>
            <w:vAlign w:val="center"/>
          </w:tcPr>
          <w:p>
            <w:pPr>
              <w:spacing w:line="280" w:lineRule="exact"/>
              <w:jc w:val="center"/>
              <w:rPr>
                <w:sz w:val="20"/>
                <w:szCs w:val="18"/>
              </w:rPr>
            </w:pPr>
            <w:r>
              <w:rPr>
                <w:rFonts w:hint="eastAsia"/>
                <w:sz w:val="20"/>
                <w:szCs w:val="18"/>
              </w:rPr>
              <w:t>24</w:t>
            </w:r>
          </w:p>
        </w:tc>
        <w:tc>
          <w:tcPr>
            <w:tcW w:w="2727" w:type="dxa"/>
            <w:vMerge w:val="continue"/>
          </w:tcPr>
          <w:p>
            <w:pPr>
              <w:spacing w:line="28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5" w:type="dxa"/>
          </w:tcPr>
          <w:p>
            <w:pPr>
              <w:spacing w:line="280" w:lineRule="exact"/>
              <w:jc w:val="left"/>
              <w:rPr>
                <w:sz w:val="20"/>
                <w:szCs w:val="18"/>
              </w:rPr>
            </w:pPr>
            <w:r>
              <w:rPr>
                <w:rFonts w:hint="eastAsia" w:hAnsi="宋体"/>
                <w:sz w:val="20"/>
                <w:szCs w:val="18"/>
              </w:rPr>
              <w:t>我校主持或以第2单位参加的单个理工科</w:t>
            </w:r>
            <w:r>
              <w:rPr>
                <w:rFonts w:hAnsi="宋体"/>
                <w:sz w:val="20"/>
                <w:szCs w:val="18"/>
              </w:rPr>
              <w:t>类国家、省部项目，验收</w:t>
            </w:r>
            <w:r>
              <w:rPr>
                <w:rFonts w:hint="eastAsia" w:hAnsi="宋体"/>
                <w:sz w:val="20"/>
                <w:szCs w:val="18"/>
              </w:rPr>
              <w:t>（结题）</w:t>
            </w:r>
            <w:r>
              <w:rPr>
                <w:rFonts w:hAnsi="宋体"/>
                <w:sz w:val="20"/>
                <w:szCs w:val="18"/>
              </w:rPr>
              <w:t>后</w:t>
            </w:r>
            <w:r>
              <w:rPr>
                <w:rFonts w:hint="eastAsia" w:hAnsi="宋体"/>
                <w:sz w:val="20"/>
                <w:szCs w:val="18"/>
              </w:rPr>
              <w:t>，来自本项目的财政经费</w:t>
            </w:r>
            <w:r>
              <w:rPr>
                <w:rFonts w:hAnsi="宋体"/>
                <w:sz w:val="20"/>
                <w:szCs w:val="18"/>
              </w:rPr>
              <w:t>累计到款</w:t>
            </w:r>
            <w:r>
              <w:rPr>
                <w:rFonts w:hint="eastAsia" w:hAnsi="宋体"/>
                <w:sz w:val="20"/>
                <w:szCs w:val="18"/>
              </w:rPr>
              <w:t>达到对应基准金额</w:t>
            </w:r>
            <w:r>
              <w:rPr>
                <w:rFonts w:hint="eastAsia"/>
                <w:sz w:val="20"/>
                <w:szCs w:val="18"/>
              </w:rPr>
              <w:t>45</w:t>
            </w:r>
            <w:r>
              <w:rPr>
                <w:rFonts w:hAnsi="宋体"/>
                <w:sz w:val="20"/>
                <w:szCs w:val="18"/>
              </w:rPr>
              <w:t>万元、</w:t>
            </w:r>
            <w:r>
              <w:rPr>
                <w:sz w:val="20"/>
                <w:szCs w:val="18"/>
              </w:rPr>
              <w:t>75</w:t>
            </w:r>
            <w:r>
              <w:rPr>
                <w:rFonts w:hAnsi="宋体"/>
                <w:sz w:val="20"/>
                <w:szCs w:val="18"/>
              </w:rPr>
              <w:t>万元</w:t>
            </w:r>
            <w:r>
              <w:rPr>
                <w:rFonts w:hint="eastAsia" w:hAnsi="宋体"/>
                <w:sz w:val="20"/>
                <w:szCs w:val="18"/>
              </w:rPr>
              <w:t>的，计1分，最高计3.5分；我校以第3或以后单位参加的，基准金额</w:t>
            </w:r>
            <w:r>
              <w:rPr>
                <w:rFonts w:hint="eastAsia"/>
                <w:sz w:val="20"/>
                <w:szCs w:val="18"/>
              </w:rPr>
              <w:t>100</w:t>
            </w:r>
            <w:r>
              <w:rPr>
                <w:rFonts w:hAnsi="宋体"/>
                <w:sz w:val="20"/>
                <w:szCs w:val="18"/>
              </w:rPr>
              <w:t>万元</w:t>
            </w:r>
            <w:r>
              <w:rPr>
                <w:rFonts w:hint="eastAsia" w:hAnsi="宋体"/>
                <w:sz w:val="20"/>
                <w:szCs w:val="18"/>
              </w:rPr>
              <w:t>。</w:t>
            </w:r>
          </w:p>
        </w:tc>
        <w:tc>
          <w:tcPr>
            <w:tcW w:w="1785" w:type="dxa"/>
            <w:vAlign w:val="center"/>
          </w:tcPr>
          <w:p>
            <w:pPr>
              <w:spacing w:line="280" w:lineRule="exact"/>
              <w:jc w:val="center"/>
              <w:rPr>
                <w:rFonts w:hAnsi="宋体"/>
                <w:sz w:val="20"/>
                <w:szCs w:val="18"/>
              </w:rPr>
            </w:pPr>
            <w:r>
              <w:rPr>
                <w:rFonts w:hint="eastAsia" w:hAnsi="宋体"/>
                <w:sz w:val="20"/>
                <w:szCs w:val="18"/>
              </w:rPr>
              <w:t>1+（到款金额</w:t>
            </w:r>
            <w:r>
              <w:rPr>
                <w:rFonts w:hint="eastAsia" w:ascii="宋体" w:hAnsi="宋体"/>
                <w:sz w:val="20"/>
                <w:szCs w:val="18"/>
              </w:rPr>
              <w:t>-</w:t>
            </w:r>
            <w:r>
              <w:rPr>
                <w:rFonts w:hint="eastAsia" w:hAnsi="宋体"/>
                <w:sz w:val="20"/>
                <w:szCs w:val="18"/>
              </w:rPr>
              <w:t>基准金额）/ 基准金额，最高计70分</w:t>
            </w:r>
          </w:p>
        </w:tc>
        <w:tc>
          <w:tcPr>
            <w:tcW w:w="2727" w:type="dxa"/>
            <w:vMerge w:val="continue"/>
          </w:tcPr>
          <w:p>
            <w:pPr>
              <w:spacing w:line="28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5" w:type="dxa"/>
          </w:tcPr>
          <w:p>
            <w:pPr>
              <w:spacing w:line="280" w:lineRule="exact"/>
              <w:jc w:val="left"/>
              <w:rPr>
                <w:sz w:val="20"/>
                <w:szCs w:val="18"/>
              </w:rPr>
            </w:pPr>
            <w:r>
              <w:rPr>
                <w:rFonts w:hint="eastAsia" w:hAnsi="宋体"/>
                <w:sz w:val="20"/>
                <w:szCs w:val="18"/>
              </w:rPr>
              <w:t>我校主持或以第2单位参加的单个人文</w:t>
            </w:r>
            <w:r>
              <w:rPr>
                <w:rFonts w:hAnsi="宋体"/>
                <w:sz w:val="20"/>
                <w:szCs w:val="18"/>
              </w:rPr>
              <w:t>社科类国家、省部项目，验收</w:t>
            </w:r>
            <w:r>
              <w:rPr>
                <w:rFonts w:hint="eastAsia" w:hAnsi="宋体"/>
                <w:sz w:val="20"/>
                <w:szCs w:val="18"/>
              </w:rPr>
              <w:t>（结题）</w:t>
            </w:r>
            <w:r>
              <w:rPr>
                <w:rFonts w:hAnsi="宋体"/>
                <w:sz w:val="20"/>
                <w:szCs w:val="18"/>
              </w:rPr>
              <w:t>后</w:t>
            </w:r>
            <w:r>
              <w:rPr>
                <w:rFonts w:hint="eastAsia" w:hAnsi="宋体"/>
                <w:sz w:val="20"/>
                <w:szCs w:val="18"/>
              </w:rPr>
              <w:t>，来自本项目的财政经费</w:t>
            </w:r>
            <w:r>
              <w:rPr>
                <w:rFonts w:hAnsi="宋体"/>
                <w:sz w:val="20"/>
                <w:szCs w:val="18"/>
              </w:rPr>
              <w:t>累计到款</w:t>
            </w:r>
            <w:r>
              <w:rPr>
                <w:rFonts w:hint="eastAsia" w:hAnsi="宋体"/>
                <w:sz w:val="20"/>
                <w:szCs w:val="18"/>
              </w:rPr>
              <w:t>达到对应基准</w:t>
            </w:r>
            <w:r>
              <w:rPr>
                <w:rFonts w:hint="eastAsia"/>
                <w:sz w:val="20"/>
                <w:szCs w:val="18"/>
              </w:rPr>
              <w:t>15</w:t>
            </w:r>
            <w:r>
              <w:rPr>
                <w:rFonts w:hAnsi="宋体"/>
                <w:sz w:val="20"/>
                <w:szCs w:val="18"/>
              </w:rPr>
              <w:t>万元</w:t>
            </w:r>
            <w:r>
              <w:rPr>
                <w:rFonts w:hint="eastAsia" w:hAnsi="宋体"/>
                <w:sz w:val="20"/>
                <w:szCs w:val="18"/>
              </w:rPr>
              <w:t>（其中，国家社会科学基金基准金额为10万元）</w:t>
            </w:r>
            <w:r>
              <w:rPr>
                <w:rFonts w:hAnsi="宋体"/>
                <w:sz w:val="20"/>
                <w:szCs w:val="18"/>
              </w:rPr>
              <w:t>、</w:t>
            </w:r>
            <w:r>
              <w:rPr>
                <w:sz w:val="20"/>
                <w:szCs w:val="18"/>
              </w:rPr>
              <w:t>30</w:t>
            </w:r>
            <w:r>
              <w:rPr>
                <w:rFonts w:hAnsi="宋体"/>
                <w:sz w:val="20"/>
                <w:szCs w:val="18"/>
              </w:rPr>
              <w:t>万元</w:t>
            </w:r>
            <w:r>
              <w:rPr>
                <w:rFonts w:hint="eastAsia" w:hAnsi="宋体"/>
                <w:sz w:val="20"/>
                <w:szCs w:val="18"/>
              </w:rPr>
              <w:t>的，计1分，最高计3.5分；我校以第3或以后单位参加的，基准金额</w:t>
            </w:r>
            <w:r>
              <w:rPr>
                <w:rFonts w:hint="eastAsia"/>
                <w:sz w:val="20"/>
                <w:szCs w:val="18"/>
              </w:rPr>
              <w:t>5</w:t>
            </w:r>
            <w:r>
              <w:rPr>
                <w:sz w:val="20"/>
                <w:szCs w:val="18"/>
              </w:rPr>
              <w:t>0</w:t>
            </w:r>
            <w:r>
              <w:rPr>
                <w:rFonts w:hAnsi="宋体"/>
                <w:sz w:val="20"/>
                <w:szCs w:val="18"/>
              </w:rPr>
              <w:t>万元</w:t>
            </w:r>
            <w:r>
              <w:rPr>
                <w:rFonts w:hint="eastAsia" w:hAnsi="宋体"/>
                <w:sz w:val="20"/>
                <w:szCs w:val="18"/>
              </w:rPr>
              <w:t>。</w:t>
            </w:r>
          </w:p>
        </w:tc>
        <w:tc>
          <w:tcPr>
            <w:tcW w:w="1785" w:type="dxa"/>
            <w:vAlign w:val="center"/>
          </w:tcPr>
          <w:p>
            <w:pPr>
              <w:spacing w:line="280" w:lineRule="exact"/>
              <w:jc w:val="center"/>
              <w:rPr>
                <w:rFonts w:hAnsi="宋体"/>
                <w:sz w:val="20"/>
                <w:szCs w:val="18"/>
              </w:rPr>
            </w:pPr>
            <w:r>
              <w:rPr>
                <w:rFonts w:hint="eastAsia" w:hAnsi="宋体"/>
                <w:sz w:val="20"/>
                <w:szCs w:val="18"/>
              </w:rPr>
              <w:t>1+（到款金额</w:t>
            </w:r>
            <w:r>
              <w:rPr>
                <w:rFonts w:hint="eastAsia" w:ascii="宋体" w:hAnsi="宋体"/>
                <w:sz w:val="20"/>
                <w:szCs w:val="18"/>
              </w:rPr>
              <w:t>-</w:t>
            </w:r>
            <w:r>
              <w:rPr>
                <w:rFonts w:hint="eastAsia" w:hAnsi="宋体"/>
                <w:sz w:val="20"/>
                <w:szCs w:val="18"/>
              </w:rPr>
              <w:t>基准金额）/ 基准金额，最高计70分</w:t>
            </w:r>
          </w:p>
        </w:tc>
        <w:tc>
          <w:tcPr>
            <w:tcW w:w="2727" w:type="dxa"/>
            <w:vMerge w:val="continue"/>
          </w:tcPr>
          <w:p>
            <w:pPr>
              <w:spacing w:line="28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5" w:type="dxa"/>
          </w:tcPr>
          <w:p>
            <w:pPr>
              <w:spacing w:line="280" w:lineRule="exact"/>
              <w:jc w:val="left"/>
              <w:rPr>
                <w:rFonts w:hAnsi="宋体"/>
                <w:sz w:val="20"/>
                <w:szCs w:val="18"/>
              </w:rPr>
            </w:pPr>
            <w:r>
              <w:rPr>
                <w:rFonts w:hint="eastAsia" w:hAnsi="宋体"/>
                <w:sz w:val="20"/>
                <w:szCs w:val="18"/>
              </w:rPr>
              <w:t>我校教职工主持或参加的理工科类厅级及以下纵向科研项目，当年来自对应项目的财政经费累计到款达到基准金额100</w:t>
            </w:r>
            <w:r>
              <w:rPr>
                <w:rFonts w:hAnsi="宋体"/>
                <w:sz w:val="20"/>
                <w:szCs w:val="18"/>
              </w:rPr>
              <w:t>万元</w:t>
            </w:r>
            <w:r>
              <w:rPr>
                <w:rFonts w:hint="eastAsia" w:hAnsi="宋体"/>
                <w:sz w:val="20"/>
                <w:szCs w:val="18"/>
              </w:rPr>
              <w:t>的，</w:t>
            </w:r>
            <w:r>
              <w:rPr>
                <w:rFonts w:hAnsi="宋体"/>
                <w:sz w:val="20"/>
                <w:szCs w:val="18"/>
              </w:rPr>
              <w:t>计</w:t>
            </w:r>
            <w:r>
              <w:rPr>
                <w:rFonts w:hint="eastAsia"/>
                <w:sz w:val="20"/>
                <w:szCs w:val="18"/>
              </w:rPr>
              <w:t>1</w:t>
            </w:r>
            <w:r>
              <w:rPr>
                <w:rFonts w:hAnsi="宋体"/>
                <w:sz w:val="20"/>
                <w:szCs w:val="18"/>
              </w:rPr>
              <w:t>分</w:t>
            </w:r>
            <w:r>
              <w:rPr>
                <w:rFonts w:hint="eastAsia" w:hAnsi="宋体"/>
                <w:sz w:val="20"/>
                <w:szCs w:val="18"/>
              </w:rPr>
              <w:t>，最高计2.5分；人文社科类厅级及以下纵向科研项目，当年来自对应项目的财政经费累计到款达到基准金额</w:t>
            </w:r>
            <w:r>
              <w:rPr>
                <w:rFonts w:hint="eastAsia"/>
                <w:sz w:val="20"/>
                <w:szCs w:val="18"/>
              </w:rPr>
              <w:t>50</w:t>
            </w:r>
            <w:r>
              <w:rPr>
                <w:rFonts w:hAnsi="宋体"/>
                <w:sz w:val="20"/>
                <w:szCs w:val="18"/>
              </w:rPr>
              <w:t>万元</w:t>
            </w:r>
            <w:r>
              <w:rPr>
                <w:rFonts w:hint="eastAsia" w:hAnsi="宋体"/>
                <w:sz w:val="20"/>
                <w:szCs w:val="18"/>
              </w:rPr>
              <w:t>的，</w:t>
            </w:r>
            <w:r>
              <w:rPr>
                <w:rFonts w:hAnsi="宋体"/>
                <w:sz w:val="20"/>
                <w:szCs w:val="18"/>
              </w:rPr>
              <w:t>计</w:t>
            </w:r>
            <w:r>
              <w:rPr>
                <w:rFonts w:hint="eastAsia"/>
                <w:sz w:val="20"/>
                <w:szCs w:val="18"/>
              </w:rPr>
              <w:t>1</w:t>
            </w:r>
            <w:r>
              <w:rPr>
                <w:rFonts w:hAnsi="宋体"/>
                <w:sz w:val="20"/>
                <w:szCs w:val="18"/>
              </w:rPr>
              <w:t>分</w:t>
            </w:r>
            <w:r>
              <w:rPr>
                <w:rFonts w:hint="eastAsia" w:hAnsi="宋体"/>
                <w:sz w:val="20"/>
                <w:szCs w:val="18"/>
              </w:rPr>
              <w:t>，最高计2.5分。</w:t>
            </w:r>
          </w:p>
        </w:tc>
        <w:tc>
          <w:tcPr>
            <w:tcW w:w="1785" w:type="dxa"/>
            <w:vAlign w:val="center"/>
          </w:tcPr>
          <w:p>
            <w:pPr>
              <w:spacing w:line="280" w:lineRule="exact"/>
              <w:jc w:val="center"/>
              <w:rPr>
                <w:rFonts w:hAnsi="宋体"/>
                <w:sz w:val="20"/>
                <w:szCs w:val="18"/>
              </w:rPr>
            </w:pPr>
            <w:r>
              <w:rPr>
                <w:rFonts w:hint="eastAsia" w:hAnsi="宋体"/>
                <w:sz w:val="20"/>
                <w:szCs w:val="18"/>
              </w:rPr>
              <w:t>1+（到款金额</w:t>
            </w:r>
            <w:r>
              <w:rPr>
                <w:rFonts w:hint="eastAsia" w:ascii="宋体" w:hAnsi="宋体"/>
                <w:sz w:val="20"/>
                <w:szCs w:val="18"/>
              </w:rPr>
              <w:t>-</w:t>
            </w:r>
            <w:r>
              <w:rPr>
                <w:rFonts w:hint="eastAsia" w:hAnsi="宋体"/>
                <w:sz w:val="20"/>
                <w:szCs w:val="18"/>
              </w:rPr>
              <w:t>基准金额）/ 基准金额，最高计50分</w:t>
            </w:r>
          </w:p>
        </w:tc>
        <w:tc>
          <w:tcPr>
            <w:tcW w:w="2727" w:type="dxa"/>
            <w:vMerge w:val="continue"/>
          </w:tcPr>
          <w:p>
            <w:pPr>
              <w:spacing w:line="28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6615" w:type="dxa"/>
          </w:tcPr>
          <w:p>
            <w:pPr>
              <w:spacing w:line="280" w:lineRule="exact"/>
              <w:rPr>
                <w:rFonts w:hAnsi="宋体"/>
                <w:sz w:val="20"/>
                <w:szCs w:val="18"/>
              </w:rPr>
            </w:pPr>
            <w:r>
              <w:rPr>
                <w:rFonts w:hint="eastAsia" w:hAnsi="宋体"/>
                <w:sz w:val="20"/>
                <w:szCs w:val="18"/>
              </w:rPr>
              <w:t>我校教职工主持的理工科类横向科研项目，当年经费累计到款达到基准金额</w:t>
            </w:r>
            <w:r>
              <w:rPr>
                <w:rFonts w:hint="eastAsia"/>
                <w:sz w:val="20"/>
                <w:szCs w:val="18"/>
              </w:rPr>
              <w:t>150</w:t>
            </w:r>
            <w:r>
              <w:rPr>
                <w:rFonts w:hAnsi="宋体"/>
                <w:sz w:val="20"/>
                <w:szCs w:val="18"/>
              </w:rPr>
              <w:t>万元</w:t>
            </w:r>
            <w:r>
              <w:rPr>
                <w:rFonts w:hint="eastAsia" w:hAnsi="宋体"/>
                <w:sz w:val="20"/>
                <w:szCs w:val="18"/>
              </w:rPr>
              <w:t>的，</w:t>
            </w:r>
            <w:r>
              <w:rPr>
                <w:rFonts w:hAnsi="宋体"/>
                <w:sz w:val="20"/>
                <w:szCs w:val="18"/>
              </w:rPr>
              <w:t>计</w:t>
            </w:r>
            <w:r>
              <w:rPr>
                <w:rFonts w:hint="eastAsia"/>
                <w:sz w:val="20"/>
                <w:szCs w:val="18"/>
              </w:rPr>
              <w:t>1</w:t>
            </w:r>
            <w:r>
              <w:rPr>
                <w:rFonts w:hAnsi="宋体"/>
                <w:sz w:val="20"/>
                <w:szCs w:val="18"/>
              </w:rPr>
              <w:t>分</w:t>
            </w:r>
            <w:r>
              <w:rPr>
                <w:rFonts w:hint="eastAsia" w:hAnsi="宋体"/>
                <w:sz w:val="20"/>
                <w:szCs w:val="18"/>
              </w:rPr>
              <w:t>，最高计2.5分；人文社科类横向科研项目，当年经费累计到款达到基准金额7</w:t>
            </w:r>
            <w:r>
              <w:rPr>
                <w:rFonts w:hint="eastAsia"/>
                <w:sz w:val="20"/>
                <w:szCs w:val="18"/>
              </w:rPr>
              <w:t>5</w:t>
            </w:r>
            <w:r>
              <w:rPr>
                <w:rFonts w:hAnsi="宋体"/>
                <w:sz w:val="20"/>
                <w:szCs w:val="18"/>
              </w:rPr>
              <w:t>万元</w:t>
            </w:r>
            <w:r>
              <w:rPr>
                <w:rFonts w:hint="eastAsia" w:hAnsi="宋体"/>
                <w:sz w:val="20"/>
                <w:szCs w:val="18"/>
              </w:rPr>
              <w:t>的，</w:t>
            </w:r>
            <w:r>
              <w:rPr>
                <w:rFonts w:hAnsi="宋体"/>
                <w:sz w:val="20"/>
                <w:szCs w:val="18"/>
              </w:rPr>
              <w:t>计</w:t>
            </w:r>
            <w:r>
              <w:rPr>
                <w:rFonts w:hint="eastAsia"/>
                <w:sz w:val="20"/>
                <w:szCs w:val="18"/>
              </w:rPr>
              <w:t>1</w:t>
            </w:r>
            <w:r>
              <w:rPr>
                <w:rFonts w:hAnsi="宋体"/>
                <w:sz w:val="20"/>
                <w:szCs w:val="18"/>
              </w:rPr>
              <w:t>分</w:t>
            </w:r>
            <w:r>
              <w:rPr>
                <w:rFonts w:hint="eastAsia" w:hAnsi="宋体"/>
                <w:sz w:val="20"/>
                <w:szCs w:val="18"/>
              </w:rPr>
              <w:t>，最高计2.5分。</w:t>
            </w:r>
          </w:p>
        </w:tc>
        <w:tc>
          <w:tcPr>
            <w:tcW w:w="1785" w:type="dxa"/>
            <w:vAlign w:val="center"/>
          </w:tcPr>
          <w:p>
            <w:pPr>
              <w:spacing w:line="280" w:lineRule="exact"/>
              <w:jc w:val="center"/>
              <w:rPr>
                <w:rFonts w:hAnsi="宋体"/>
                <w:sz w:val="20"/>
                <w:szCs w:val="18"/>
              </w:rPr>
            </w:pPr>
            <w:r>
              <w:rPr>
                <w:rFonts w:hint="eastAsia" w:hAnsi="宋体"/>
                <w:sz w:val="20"/>
                <w:szCs w:val="18"/>
              </w:rPr>
              <w:t>1+（到款金额</w:t>
            </w:r>
            <w:r>
              <w:rPr>
                <w:rFonts w:hint="eastAsia" w:ascii="宋体" w:hAnsi="宋体"/>
                <w:sz w:val="20"/>
                <w:szCs w:val="18"/>
              </w:rPr>
              <w:t>-</w:t>
            </w:r>
            <w:r>
              <w:rPr>
                <w:rFonts w:hint="eastAsia" w:hAnsi="宋体"/>
                <w:sz w:val="20"/>
                <w:szCs w:val="18"/>
              </w:rPr>
              <w:t>基准金额）/ 基准金额，最高计50分</w:t>
            </w:r>
          </w:p>
        </w:tc>
        <w:tc>
          <w:tcPr>
            <w:tcW w:w="2727" w:type="dxa"/>
            <w:vMerge w:val="continue"/>
          </w:tcPr>
          <w:p>
            <w:pPr>
              <w:spacing w:line="280" w:lineRule="exact"/>
              <w:jc w:val="center"/>
              <w:rPr>
                <w:sz w:val="20"/>
                <w:szCs w:val="18"/>
              </w:rPr>
            </w:pPr>
          </w:p>
        </w:tc>
      </w:tr>
    </w:tbl>
    <w:p>
      <w:pPr>
        <w:spacing w:line="360" w:lineRule="auto"/>
        <w:jc w:val="center"/>
        <w:rPr>
          <w:rFonts w:ascii="仿宋_GB2312" w:hAnsi="宋体" w:eastAsia="仿宋_GB2312"/>
          <w:b/>
          <w:sz w:val="28"/>
          <w:szCs w:val="28"/>
        </w:rPr>
      </w:pPr>
      <w:r>
        <w:rPr>
          <w:rFonts w:hint="eastAsia" w:ascii="仿宋_GB2312" w:hAnsi="宋体" w:eastAsia="仿宋_GB2312"/>
          <w:b/>
          <w:sz w:val="28"/>
          <w:szCs w:val="28"/>
        </w:rPr>
        <w:t>多人合作完成的成果分摊系数表</w:t>
      </w:r>
    </w:p>
    <w:tbl>
      <w:tblPr>
        <w:tblStyle w:val="7"/>
        <w:tblW w:w="10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1203"/>
        <w:gridCol w:w="1203"/>
        <w:gridCol w:w="1204"/>
        <w:gridCol w:w="1204"/>
        <w:gridCol w:w="1204"/>
        <w:gridCol w:w="2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8" w:type="dxa"/>
            <w:vMerge w:val="restart"/>
            <w:vAlign w:val="center"/>
          </w:tcPr>
          <w:p>
            <w:pPr>
              <w:spacing w:line="460" w:lineRule="exact"/>
              <w:jc w:val="center"/>
              <w:rPr>
                <w:rFonts w:ascii="仿宋_GB2312" w:hAnsi="宋体" w:eastAsia="仿宋_GB2312"/>
                <w:sz w:val="24"/>
              </w:rPr>
            </w:pPr>
            <w:r>
              <w:rPr>
                <w:rFonts w:hint="eastAsia" w:ascii="仿宋_GB2312" w:hAnsi="宋体" w:eastAsia="仿宋_GB2312"/>
                <w:sz w:val="24"/>
              </w:rPr>
              <w:t>完成人数</w:t>
            </w:r>
          </w:p>
        </w:tc>
        <w:tc>
          <w:tcPr>
            <w:tcW w:w="9006" w:type="dxa"/>
            <w:gridSpan w:val="6"/>
            <w:vAlign w:val="center"/>
          </w:tcPr>
          <w:p>
            <w:pPr>
              <w:spacing w:line="460" w:lineRule="exact"/>
              <w:jc w:val="center"/>
              <w:rPr>
                <w:rFonts w:ascii="仿宋_GB2312" w:hAnsi="宋体" w:eastAsia="仿宋_GB2312"/>
                <w:sz w:val="24"/>
              </w:rPr>
            </w:pPr>
            <w:r>
              <w:rPr>
                <w:rFonts w:hint="eastAsia" w:ascii="仿宋_GB2312" w:hAnsi="宋体" w:eastAsia="仿宋_GB2312"/>
                <w:sz w:val="24"/>
              </w:rPr>
              <w:t>排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8" w:type="dxa"/>
            <w:vMerge w:val="continue"/>
            <w:vAlign w:val="center"/>
          </w:tcPr>
          <w:p>
            <w:pPr>
              <w:spacing w:line="460" w:lineRule="exact"/>
              <w:jc w:val="center"/>
              <w:rPr>
                <w:rFonts w:ascii="仿宋_GB2312" w:hAnsi="宋体" w:eastAsia="仿宋_GB2312"/>
                <w:sz w:val="24"/>
              </w:rPr>
            </w:pPr>
          </w:p>
        </w:tc>
        <w:tc>
          <w:tcPr>
            <w:tcW w:w="1203"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1203"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2</w:t>
            </w:r>
          </w:p>
        </w:tc>
        <w:tc>
          <w:tcPr>
            <w:tcW w:w="1204"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3</w:t>
            </w:r>
          </w:p>
        </w:tc>
        <w:tc>
          <w:tcPr>
            <w:tcW w:w="1204"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4</w:t>
            </w:r>
          </w:p>
        </w:tc>
        <w:tc>
          <w:tcPr>
            <w:tcW w:w="1204"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5</w:t>
            </w:r>
          </w:p>
        </w:tc>
        <w:tc>
          <w:tcPr>
            <w:tcW w:w="2988"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6 及以后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8"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1203"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1203" w:type="dxa"/>
            <w:vAlign w:val="center"/>
          </w:tcPr>
          <w:p>
            <w:pPr>
              <w:spacing w:line="460" w:lineRule="exact"/>
              <w:jc w:val="center"/>
              <w:rPr>
                <w:rFonts w:ascii="仿宋_GB2312" w:hAnsi="宋体" w:eastAsia="仿宋_GB2312"/>
                <w:sz w:val="24"/>
              </w:rPr>
            </w:pPr>
          </w:p>
        </w:tc>
        <w:tc>
          <w:tcPr>
            <w:tcW w:w="1204" w:type="dxa"/>
            <w:vAlign w:val="center"/>
          </w:tcPr>
          <w:p>
            <w:pPr>
              <w:spacing w:line="460" w:lineRule="exact"/>
              <w:jc w:val="center"/>
              <w:rPr>
                <w:rFonts w:ascii="仿宋_GB2312" w:hAnsi="宋体" w:eastAsia="仿宋_GB2312"/>
                <w:sz w:val="24"/>
              </w:rPr>
            </w:pPr>
          </w:p>
        </w:tc>
        <w:tc>
          <w:tcPr>
            <w:tcW w:w="1204" w:type="dxa"/>
            <w:vAlign w:val="center"/>
          </w:tcPr>
          <w:p>
            <w:pPr>
              <w:spacing w:line="460" w:lineRule="exact"/>
              <w:jc w:val="center"/>
              <w:rPr>
                <w:rFonts w:ascii="仿宋_GB2312" w:hAnsi="宋体" w:eastAsia="仿宋_GB2312"/>
                <w:sz w:val="24"/>
              </w:rPr>
            </w:pPr>
          </w:p>
        </w:tc>
        <w:tc>
          <w:tcPr>
            <w:tcW w:w="1204" w:type="dxa"/>
            <w:vAlign w:val="center"/>
          </w:tcPr>
          <w:p>
            <w:pPr>
              <w:spacing w:line="460" w:lineRule="exact"/>
              <w:jc w:val="center"/>
              <w:rPr>
                <w:rFonts w:ascii="仿宋_GB2312" w:hAnsi="宋体" w:eastAsia="仿宋_GB2312"/>
                <w:sz w:val="24"/>
              </w:rPr>
            </w:pPr>
          </w:p>
        </w:tc>
        <w:tc>
          <w:tcPr>
            <w:tcW w:w="2988" w:type="dxa"/>
            <w:vAlign w:val="center"/>
          </w:tcPr>
          <w:p>
            <w:pPr>
              <w:spacing w:line="46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8"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2</w:t>
            </w:r>
          </w:p>
        </w:tc>
        <w:tc>
          <w:tcPr>
            <w:tcW w:w="1203"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0.6</w:t>
            </w:r>
          </w:p>
        </w:tc>
        <w:tc>
          <w:tcPr>
            <w:tcW w:w="1203"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0.4</w:t>
            </w:r>
          </w:p>
        </w:tc>
        <w:tc>
          <w:tcPr>
            <w:tcW w:w="1204" w:type="dxa"/>
            <w:vAlign w:val="center"/>
          </w:tcPr>
          <w:p>
            <w:pPr>
              <w:spacing w:line="460" w:lineRule="exact"/>
              <w:jc w:val="center"/>
              <w:rPr>
                <w:rFonts w:ascii="仿宋_GB2312" w:hAnsi="宋体" w:eastAsia="仿宋_GB2312"/>
                <w:sz w:val="24"/>
              </w:rPr>
            </w:pPr>
          </w:p>
        </w:tc>
        <w:tc>
          <w:tcPr>
            <w:tcW w:w="1204" w:type="dxa"/>
            <w:vAlign w:val="center"/>
          </w:tcPr>
          <w:p>
            <w:pPr>
              <w:spacing w:line="460" w:lineRule="exact"/>
              <w:jc w:val="center"/>
              <w:rPr>
                <w:rFonts w:ascii="仿宋_GB2312" w:hAnsi="宋体" w:eastAsia="仿宋_GB2312"/>
                <w:sz w:val="24"/>
              </w:rPr>
            </w:pPr>
          </w:p>
        </w:tc>
        <w:tc>
          <w:tcPr>
            <w:tcW w:w="1204" w:type="dxa"/>
            <w:vAlign w:val="center"/>
          </w:tcPr>
          <w:p>
            <w:pPr>
              <w:spacing w:line="460" w:lineRule="exact"/>
              <w:jc w:val="center"/>
              <w:rPr>
                <w:rFonts w:ascii="仿宋_GB2312" w:hAnsi="宋体" w:eastAsia="仿宋_GB2312"/>
                <w:sz w:val="24"/>
              </w:rPr>
            </w:pPr>
          </w:p>
        </w:tc>
        <w:tc>
          <w:tcPr>
            <w:tcW w:w="2988" w:type="dxa"/>
            <w:vAlign w:val="center"/>
          </w:tcPr>
          <w:p>
            <w:pPr>
              <w:spacing w:line="46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8"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3</w:t>
            </w:r>
          </w:p>
        </w:tc>
        <w:tc>
          <w:tcPr>
            <w:tcW w:w="1203"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0.5</w:t>
            </w:r>
          </w:p>
        </w:tc>
        <w:tc>
          <w:tcPr>
            <w:tcW w:w="1203"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0.3</w:t>
            </w:r>
          </w:p>
        </w:tc>
        <w:tc>
          <w:tcPr>
            <w:tcW w:w="1204"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0.2</w:t>
            </w:r>
          </w:p>
        </w:tc>
        <w:tc>
          <w:tcPr>
            <w:tcW w:w="1204" w:type="dxa"/>
            <w:vAlign w:val="center"/>
          </w:tcPr>
          <w:p>
            <w:pPr>
              <w:spacing w:line="460" w:lineRule="exact"/>
              <w:jc w:val="center"/>
              <w:rPr>
                <w:rFonts w:ascii="仿宋_GB2312" w:hAnsi="宋体" w:eastAsia="仿宋_GB2312"/>
                <w:sz w:val="24"/>
              </w:rPr>
            </w:pPr>
          </w:p>
        </w:tc>
        <w:tc>
          <w:tcPr>
            <w:tcW w:w="1204" w:type="dxa"/>
            <w:vAlign w:val="center"/>
          </w:tcPr>
          <w:p>
            <w:pPr>
              <w:spacing w:line="460" w:lineRule="exact"/>
              <w:jc w:val="center"/>
              <w:rPr>
                <w:rFonts w:ascii="仿宋_GB2312" w:hAnsi="宋体" w:eastAsia="仿宋_GB2312"/>
                <w:sz w:val="24"/>
              </w:rPr>
            </w:pPr>
          </w:p>
        </w:tc>
        <w:tc>
          <w:tcPr>
            <w:tcW w:w="2988" w:type="dxa"/>
            <w:vAlign w:val="center"/>
          </w:tcPr>
          <w:p>
            <w:pPr>
              <w:spacing w:line="46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8"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4</w:t>
            </w:r>
          </w:p>
        </w:tc>
        <w:tc>
          <w:tcPr>
            <w:tcW w:w="1203"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0.4</w:t>
            </w:r>
          </w:p>
        </w:tc>
        <w:tc>
          <w:tcPr>
            <w:tcW w:w="1203"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0.3</w:t>
            </w:r>
          </w:p>
        </w:tc>
        <w:tc>
          <w:tcPr>
            <w:tcW w:w="1204"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0.2</w:t>
            </w:r>
          </w:p>
        </w:tc>
        <w:tc>
          <w:tcPr>
            <w:tcW w:w="1204"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0.1</w:t>
            </w:r>
          </w:p>
        </w:tc>
        <w:tc>
          <w:tcPr>
            <w:tcW w:w="1204" w:type="dxa"/>
            <w:vAlign w:val="center"/>
          </w:tcPr>
          <w:p>
            <w:pPr>
              <w:spacing w:line="460" w:lineRule="exact"/>
              <w:jc w:val="center"/>
              <w:rPr>
                <w:rFonts w:ascii="仿宋_GB2312" w:hAnsi="宋体" w:eastAsia="仿宋_GB2312"/>
                <w:sz w:val="24"/>
              </w:rPr>
            </w:pPr>
          </w:p>
        </w:tc>
        <w:tc>
          <w:tcPr>
            <w:tcW w:w="2988" w:type="dxa"/>
            <w:vAlign w:val="center"/>
          </w:tcPr>
          <w:p>
            <w:pPr>
              <w:spacing w:line="46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8"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5</w:t>
            </w:r>
          </w:p>
        </w:tc>
        <w:tc>
          <w:tcPr>
            <w:tcW w:w="1203"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0.4</w:t>
            </w:r>
          </w:p>
        </w:tc>
        <w:tc>
          <w:tcPr>
            <w:tcW w:w="1203"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0.3</w:t>
            </w:r>
          </w:p>
        </w:tc>
        <w:tc>
          <w:tcPr>
            <w:tcW w:w="1204"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0.15</w:t>
            </w:r>
          </w:p>
        </w:tc>
        <w:tc>
          <w:tcPr>
            <w:tcW w:w="1204"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0.1</w:t>
            </w:r>
          </w:p>
        </w:tc>
        <w:tc>
          <w:tcPr>
            <w:tcW w:w="1204"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0.05</w:t>
            </w:r>
          </w:p>
        </w:tc>
        <w:tc>
          <w:tcPr>
            <w:tcW w:w="2988" w:type="dxa"/>
            <w:vAlign w:val="center"/>
          </w:tcPr>
          <w:p>
            <w:pPr>
              <w:spacing w:line="46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8"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6及以上</w:t>
            </w:r>
          </w:p>
        </w:tc>
        <w:tc>
          <w:tcPr>
            <w:tcW w:w="1203"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0.4</w:t>
            </w:r>
          </w:p>
        </w:tc>
        <w:tc>
          <w:tcPr>
            <w:tcW w:w="1203"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0.3</w:t>
            </w:r>
          </w:p>
        </w:tc>
        <w:tc>
          <w:tcPr>
            <w:tcW w:w="1204"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0.15</w:t>
            </w:r>
          </w:p>
        </w:tc>
        <w:tc>
          <w:tcPr>
            <w:tcW w:w="1204"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0.07</w:t>
            </w:r>
          </w:p>
        </w:tc>
        <w:tc>
          <w:tcPr>
            <w:tcW w:w="1204"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0.04</w:t>
            </w:r>
          </w:p>
        </w:tc>
        <w:tc>
          <w:tcPr>
            <w:tcW w:w="2988"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8"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备注：</w:t>
            </w:r>
          </w:p>
        </w:tc>
        <w:tc>
          <w:tcPr>
            <w:tcW w:w="9006" w:type="dxa"/>
            <w:gridSpan w:val="6"/>
            <w:vAlign w:val="center"/>
          </w:tcPr>
          <w:p>
            <w:pPr>
              <w:spacing w:line="400" w:lineRule="exact"/>
              <w:rPr>
                <w:rFonts w:ascii="仿宋_GB2312" w:hAnsi="宋体" w:eastAsia="仿宋_GB2312"/>
                <w:sz w:val="24"/>
              </w:rPr>
            </w:pPr>
          </w:p>
        </w:tc>
      </w:tr>
    </w:tbl>
    <w:p>
      <w:pPr>
        <w:autoSpaceDE w:val="0"/>
        <w:autoSpaceDN w:val="0"/>
        <w:adjustRightInd w:val="0"/>
        <w:spacing w:line="360" w:lineRule="auto"/>
        <w:ind w:firstLine="480" w:firstLineChars="200"/>
        <w:jc w:val="left"/>
        <w:rPr>
          <w:rFonts w:ascii="宋体" w:hAnsi="宋体" w:cs="仿宋_GB2312+FPEF"/>
          <w:kern w:val="0"/>
          <w:sz w:val="24"/>
        </w:rPr>
      </w:pPr>
    </w:p>
    <w:p>
      <w:pPr>
        <w:pStyle w:val="6"/>
        <w:spacing w:before="0" w:beforeAutospacing="0" w:after="0" w:afterAutospacing="0" w:line="440" w:lineRule="exact"/>
        <w:ind w:firstLine="480" w:firstLineChars="200"/>
        <w:rPr>
          <w:rFonts w:cs="仿宋_GB2312+FPEF"/>
        </w:rPr>
      </w:pPr>
      <w:r>
        <w:rPr>
          <w:rFonts w:hint="eastAsia" w:cs="仿宋_GB2312+FPEF"/>
        </w:rPr>
        <w:t>（二）创新实践成果及其计分标准</w:t>
      </w:r>
    </w:p>
    <w:p>
      <w:pPr>
        <w:autoSpaceDE w:val="0"/>
        <w:autoSpaceDN w:val="0"/>
        <w:adjustRightInd w:val="0"/>
        <w:spacing w:line="360" w:lineRule="auto"/>
        <w:ind w:firstLine="480" w:firstLineChars="200"/>
        <w:jc w:val="left"/>
        <w:rPr>
          <w:rFonts w:ascii="宋体" w:hAnsi="宋体" w:cs="仿宋_GB2312+FPEF"/>
          <w:kern w:val="0"/>
          <w:sz w:val="24"/>
        </w:rPr>
      </w:pPr>
      <w:r>
        <w:rPr>
          <w:rFonts w:hint="eastAsia" w:ascii="宋体" w:hAnsi="宋体" w:cs="仿宋_GB2312+FPEF"/>
          <w:kern w:val="0"/>
          <w:sz w:val="24"/>
        </w:rPr>
        <w:t>研究生的创新实践成果是指研究生在全国大学生挑战杯学术科技作品竞赛、“全国研究生创新实践系列活动</w:t>
      </w:r>
      <w:r>
        <w:rPr>
          <w:rFonts w:ascii="宋体" w:hAnsi="宋体" w:cs="仿宋_GB2312+FPEF"/>
          <w:kern w:val="0"/>
          <w:sz w:val="24"/>
        </w:rPr>
        <w:t>”</w:t>
      </w:r>
      <w:r>
        <w:rPr>
          <w:rFonts w:hint="eastAsia" w:ascii="宋体" w:hAnsi="宋体" w:cs="仿宋_GB2312+FPEF"/>
          <w:kern w:val="0"/>
          <w:sz w:val="24"/>
        </w:rPr>
        <w:t>及在其他被教育部学科评估指标体系认可的竞赛中的获奖情况。在上述全国性活动或竞赛中获得一等及以上奖项，计分标准参照特级期刊的分值；获得二等奖的同学，计分标准参照一级期刊的分值；获得三等奖的同学，计分标准参照二级期刊的分值。省级（含跨省性质的）奖项，计分标准按全国活动或竞赛获奖分值的1/2执行，校级地市级奖项，计分标准按全国活动或竞赛获奖分值的1/4执行。</w:t>
      </w:r>
    </w:p>
    <w:p>
      <w:pPr>
        <w:shd w:val="clear" w:color="auto" w:fill="FFFFFF"/>
        <w:tabs>
          <w:tab w:val="right" w:leader="middleDot" w:pos="5880"/>
        </w:tabs>
        <w:snapToGrid w:val="0"/>
        <w:spacing w:line="360" w:lineRule="auto"/>
        <w:rPr>
          <w:rFonts w:ascii="宋体"/>
          <w:b/>
          <w:sz w:val="24"/>
          <w:szCs w:val="24"/>
        </w:rPr>
      </w:pPr>
    </w:p>
    <w:p>
      <w:pPr>
        <w:spacing w:line="360" w:lineRule="auto"/>
        <w:ind w:firstLine="480" w:firstLineChars="200"/>
        <w:rPr>
          <w:rFonts w:ascii="宋体"/>
          <w:sz w:val="24"/>
          <w:szCs w:val="24"/>
        </w:rPr>
      </w:pPr>
    </w:p>
    <w:p>
      <w:pPr>
        <w:pStyle w:val="6"/>
        <w:spacing w:before="0" w:beforeAutospacing="0" w:after="0" w:afterAutospacing="0" w:line="360" w:lineRule="auto"/>
        <w:ind w:firstLine="3036" w:firstLineChars="945"/>
        <w:rPr>
          <w:rFonts w:ascii="Times New Roman"/>
          <w:b/>
          <w:sz w:val="32"/>
          <w:szCs w:val="32"/>
        </w:rPr>
      </w:pPr>
      <w:r>
        <w:rPr>
          <w:rFonts w:hint="eastAsia" w:ascii="Times New Roman"/>
          <w:b/>
          <w:sz w:val="32"/>
          <w:szCs w:val="32"/>
        </w:rPr>
        <w:t>第八章学业奖学金</w:t>
      </w:r>
    </w:p>
    <w:p>
      <w:pPr>
        <w:pStyle w:val="6"/>
        <w:spacing w:before="0" w:beforeAutospacing="0" w:after="0" w:afterAutospacing="0" w:line="360" w:lineRule="auto"/>
        <w:ind w:firstLine="482" w:firstLineChars="200"/>
        <w:rPr>
          <w:rFonts w:ascii="Times New Roman"/>
        </w:rPr>
      </w:pPr>
      <w:r>
        <w:rPr>
          <w:rFonts w:ascii="Times New Roman"/>
          <w:b/>
        </w:rPr>
        <w:t>第</w:t>
      </w:r>
      <w:r>
        <w:rPr>
          <w:rFonts w:hint="eastAsia" w:ascii="Times New Roman"/>
          <w:b/>
        </w:rPr>
        <w:t>十二</w:t>
      </w:r>
      <w:r>
        <w:rPr>
          <w:rFonts w:ascii="Times New Roman"/>
          <w:b/>
        </w:rPr>
        <w:t>条</w:t>
      </w:r>
      <w:r>
        <w:rPr>
          <w:rFonts w:hint="eastAsia" w:ascii="Times New Roman"/>
        </w:rPr>
        <w:t>研究生学业奖学金奖励等级、标准和比例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4"/>
        <w:gridCol w:w="2115"/>
        <w:gridCol w:w="2155"/>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1" w:type="dxa"/>
            <w:vAlign w:val="center"/>
          </w:tcPr>
          <w:p>
            <w:pPr>
              <w:pStyle w:val="6"/>
              <w:spacing w:before="0" w:beforeAutospacing="0" w:after="0" w:afterAutospacing="0" w:line="360" w:lineRule="auto"/>
              <w:jc w:val="center"/>
              <w:rPr>
                <w:rFonts w:ascii="Times New Roman"/>
              </w:rPr>
            </w:pPr>
            <w:r>
              <w:rPr>
                <w:rFonts w:hint="eastAsia" w:ascii="Times New Roman"/>
              </w:rPr>
              <w:t>类别</w:t>
            </w:r>
          </w:p>
        </w:tc>
        <w:tc>
          <w:tcPr>
            <w:tcW w:w="2321" w:type="dxa"/>
            <w:vAlign w:val="center"/>
          </w:tcPr>
          <w:p>
            <w:pPr>
              <w:pStyle w:val="6"/>
              <w:spacing w:before="0" w:beforeAutospacing="0" w:after="0" w:afterAutospacing="0" w:line="360" w:lineRule="auto"/>
              <w:jc w:val="center"/>
              <w:rPr>
                <w:rFonts w:ascii="Times New Roman"/>
              </w:rPr>
            </w:pPr>
            <w:r>
              <w:rPr>
                <w:rFonts w:hint="eastAsia" w:ascii="Times New Roman"/>
              </w:rPr>
              <w:t>等级</w:t>
            </w:r>
          </w:p>
        </w:tc>
        <w:tc>
          <w:tcPr>
            <w:tcW w:w="2322" w:type="dxa"/>
            <w:vAlign w:val="center"/>
          </w:tcPr>
          <w:p>
            <w:pPr>
              <w:pStyle w:val="6"/>
              <w:spacing w:before="0" w:beforeAutospacing="0" w:after="0" w:afterAutospacing="0" w:line="360" w:lineRule="auto"/>
              <w:jc w:val="center"/>
              <w:rPr>
                <w:rFonts w:ascii="Times New Roman"/>
              </w:rPr>
            </w:pPr>
            <w:r>
              <w:rPr>
                <w:rFonts w:hint="eastAsia" w:ascii="Times New Roman"/>
              </w:rPr>
              <w:t>奖励标准</w:t>
            </w:r>
          </w:p>
        </w:tc>
        <w:tc>
          <w:tcPr>
            <w:tcW w:w="2322" w:type="dxa"/>
            <w:vAlign w:val="center"/>
          </w:tcPr>
          <w:p>
            <w:pPr>
              <w:pStyle w:val="6"/>
              <w:spacing w:before="0" w:beforeAutospacing="0" w:after="0" w:afterAutospacing="0" w:line="360" w:lineRule="auto"/>
              <w:jc w:val="center"/>
              <w:rPr>
                <w:rFonts w:ascii="Times New Roman"/>
              </w:rPr>
            </w:pPr>
            <w:r>
              <w:rPr>
                <w:rFonts w:hint="eastAsia" w:ascii="Times New Roman"/>
              </w:rPr>
              <w:t>奖励比例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1" w:type="dxa"/>
            <w:vMerge w:val="restart"/>
            <w:vAlign w:val="center"/>
          </w:tcPr>
          <w:p>
            <w:pPr>
              <w:pStyle w:val="6"/>
              <w:spacing w:before="0" w:beforeAutospacing="0" w:after="0" w:afterAutospacing="0" w:line="360" w:lineRule="auto"/>
              <w:jc w:val="center"/>
              <w:rPr>
                <w:rFonts w:ascii="Times New Roman"/>
              </w:rPr>
            </w:pPr>
            <w:r>
              <w:rPr>
                <w:rFonts w:hint="eastAsia" w:ascii="Times New Roman"/>
              </w:rPr>
              <w:t>硕士生</w:t>
            </w:r>
          </w:p>
        </w:tc>
        <w:tc>
          <w:tcPr>
            <w:tcW w:w="2321" w:type="dxa"/>
            <w:vAlign w:val="center"/>
          </w:tcPr>
          <w:p>
            <w:pPr>
              <w:pStyle w:val="6"/>
              <w:spacing w:before="0" w:beforeAutospacing="0" w:after="0" w:afterAutospacing="0" w:line="360" w:lineRule="auto"/>
              <w:jc w:val="center"/>
              <w:rPr>
                <w:rFonts w:ascii="Times New Roman"/>
              </w:rPr>
            </w:pPr>
            <w:r>
              <w:rPr>
                <w:rFonts w:hint="eastAsia" w:ascii="Times New Roman"/>
              </w:rPr>
              <w:t>一等</w:t>
            </w:r>
          </w:p>
        </w:tc>
        <w:tc>
          <w:tcPr>
            <w:tcW w:w="2322" w:type="dxa"/>
            <w:vAlign w:val="center"/>
          </w:tcPr>
          <w:p>
            <w:pPr>
              <w:pStyle w:val="6"/>
              <w:spacing w:before="0" w:beforeAutospacing="0" w:after="0" w:afterAutospacing="0" w:line="360" w:lineRule="auto"/>
              <w:jc w:val="center"/>
              <w:rPr>
                <w:rFonts w:ascii="Times New Roman"/>
              </w:rPr>
            </w:pPr>
            <w:r>
              <w:rPr>
                <w:rFonts w:hint="eastAsia" w:ascii="Times New Roman"/>
              </w:rPr>
              <w:t>12000元/年</w:t>
            </w:r>
          </w:p>
        </w:tc>
        <w:tc>
          <w:tcPr>
            <w:tcW w:w="2322" w:type="dxa"/>
            <w:vAlign w:val="center"/>
          </w:tcPr>
          <w:p>
            <w:pPr>
              <w:pStyle w:val="6"/>
              <w:spacing w:before="0" w:beforeAutospacing="0" w:after="0" w:afterAutospacing="0" w:line="360" w:lineRule="auto"/>
              <w:jc w:val="center"/>
              <w:rPr>
                <w:rFonts w:ascii="Times New Roman"/>
              </w:rPr>
            </w:pPr>
            <w:r>
              <w:rPr>
                <w:rFonts w:hint="eastAsia" w:ascii="Times New Roma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1" w:type="dxa"/>
            <w:vMerge w:val="continue"/>
            <w:vAlign w:val="center"/>
          </w:tcPr>
          <w:p>
            <w:pPr>
              <w:pStyle w:val="6"/>
              <w:spacing w:before="0" w:beforeAutospacing="0" w:after="0" w:afterAutospacing="0" w:line="360" w:lineRule="auto"/>
              <w:jc w:val="center"/>
              <w:rPr>
                <w:rFonts w:ascii="Times New Roman"/>
              </w:rPr>
            </w:pPr>
          </w:p>
        </w:tc>
        <w:tc>
          <w:tcPr>
            <w:tcW w:w="2321" w:type="dxa"/>
            <w:vAlign w:val="center"/>
          </w:tcPr>
          <w:p>
            <w:pPr>
              <w:pStyle w:val="6"/>
              <w:spacing w:before="0" w:beforeAutospacing="0" w:after="0" w:afterAutospacing="0" w:line="360" w:lineRule="auto"/>
              <w:jc w:val="center"/>
              <w:rPr>
                <w:rFonts w:ascii="Times New Roman"/>
              </w:rPr>
            </w:pPr>
            <w:r>
              <w:rPr>
                <w:rFonts w:hint="eastAsia" w:ascii="Times New Roman"/>
              </w:rPr>
              <w:t>二等</w:t>
            </w:r>
          </w:p>
        </w:tc>
        <w:tc>
          <w:tcPr>
            <w:tcW w:w="2322" w:type="dxa"/>
            <w:vAlign w:val="center"/>
          </w:tcPr>
          <w:p>
            <w:pPr>
              <w:pStyle w:val="6"/>
              <w:spacing w:before="0" w:beforeAutospacing="0" w:after="0" w:afterAutospacing="0" w:line="360" w:lineRule="auto"/>
              <w:jc w:val="center"/>
              <w:rPr>
                <w:rFonts w:ascii="Times New Roman"/>
              </w:rPr>
            </w:pPr>
            <w:r>
              <w:rPr>
                <w:rFonts w:hint="eastAsia" w:ascii="Times New Roman"/>
              </w:rPr>
              <w:t>10000元/年</w:t>
            </w:r>
          </w:p>
        </w:tc>
        <w:tc>
          <w:tcPr>
            <w:tcW w:w="2322" w:type="dxa"/>
            <w:vAlign w:val="center"/>
          </w:tcPr>
          <w:p>
            <w:pPr>
              <w:pStyle w:val="6"/>
              <w:spacing w:before="0" w:beforeAutospacing="0" w:after="0" w:afterAutospacing="0" w:line="360" w:lineRule="auto"/>
              <w:jc w:val="center"/>
              <w:rPr>
                <w:rFonts w:ascii="Times New Roman"/>
              </w:rPr>
            </w:pPr>
            <w:r>
              <w:rPr>
                <w:rFonts w:hint="eastAsia" w:ascii="Times New Roma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1" w:type="dxa"/>
            <w:vMerge w:val="continue"/>
            <w:vAlign w:val="center"/>
          </w:tcPr>
          <w:p>
            <w:pPr>
              <w:pStyle w:val="6"/>
              <w:spacing w:before="0" w:beforeAutospacing="0" w:after="0" w:afterAutospacing="0" w:line="360" w:lineRule="auto"/>
              <w:jc w:val="center"/>
              <w:rPr>
                <w:rFonts w:ascii="Times New Roman"/>
              </w:rPr>
            </w:pPr>
          </w:p>
        </w:tc>
        <w:tc>
          <w:tcPr>
            <w:tcW w:w="2321" w:type="dxa"/>
            <w:vAlign w:val="center"/>
          </w:tcPr>
          <w:p>
            <w:pPr>
              <w:pStyle w:val="6"/>
              <w:spacing w:before="0" w:beforeAutospacing="0" w:after="0" w:afterAutospacing="0" w:line="360" w:lineRule="auto"/>
              <w:jc w:val="center"/>
              <w:rPr>
                <w:rFonts w:ascii="Times New Roman"/>
              </w:rPr>
            </w:pPr>
            <w:r>
              <w:rPr>
                <w:rFonts w:hint="eastAsia" w:ascii="Times New Roman"/>
              </w:rPr>
              <w:t>三等</w:t>
            </w:r>
          </w:p>
        </w:tc>
        <w:tc>
          <w:tcPr>
            <w:tcW w:w="2322" w:type="dxa"/>
            <w:vAlign w:val="center"/>
          </w:tcPr>
          <w:p>
            <w:pPr>
              <w:pStyle w:val="6"/>
              <w:spacing w:before="0" w:beforeAutospacing="0" w:after="0" w:afterAutospacing="0" w:line="360" w:lineRule="auto"/>
              <w:jc w:val="center"/>
              <w:rPr>
                <w:rFonts w:ascii="Times New Roman"/>
              </w:rPr>
            </w:pPr>
            <w:r>
              <w:rPr>
                <w:rFonts w:hint="eastAsia" w:ascii="Times New Roman"/>
              </w:rPr>
              <w:t>8000元/年</w:t>
            </w:r>
          </w:p>
        </w:tc>
        <w:tc>
          <w:tcPr>
            <w:tcW w:w="2322" w:type="dxa"/>
            <w:vAlign w:val="center"/>
          </w:tcPr>
          <w:p>
            <w:pPr>
              <w:pStyle w:val="6"/>
              <w:spacing w:before="0" w:beforeAutospacing="0" w:after="0" w:afterAutospacing="0" w:line="360" w:lineRule="auto"/>
              <w:jc w:val="center"/>
              <w:rPr>
                <w:rFonts w:ascii="Times New Roman"/>
              </w:rPr>
            </w:pPr>
            <w:r>
              <w:rPr>
                <w:rFonts w:hint="eastAsia" w:ascii="Times New Roman"/>
              </w:rPr>
              <w:t>50%</w:t>
            </w:r>
          </w:p>
        </w:tc>
      </w:tr>
    </w:tbl>
    <w:p>
      <w:pPr>
        <w:pStyle w:val="6"/>
        <w:spacing w:before="0" w:beforeAutospacing="0" w:after="0" w:afterAutospacing="0" w:line="360" w:lineRule="auto"/>
        <w:ind w:firstLine="480" w:firstLineChars="200"/>
        <w:rPr>
          <w:rFonts w:ascii="Times New Roman"/>
        </w:rPr>
      </w:pPr>
      <w:r>
        <w:rPr>
          <w:rFonts w:hint="eastAsia" w:ascii="Times New Roman"/>
        </w:rPr>
        <w:t>注：2.5年学制的硕士研究生，最后一次奖金发放时奖励额度减半。</w:t>
      </w:r>
    </w:p>
    <w:p>
      <w:pPr>
        <w:pStyle w:val="6"/>
        <w:spacing w:before="0" w:beforeAutospacing="0" w:after="0" w:afterAutospacing="0" w:line="360" w:lineRule="auto"/>
        <w:ind w:firstLine="482" w:firstLineChars="200"/>
        <w:rPr>
          <w:rFonts w:ascii="Times New Roman"/>
        </w:rPr>
      </w:pPr>
      <w:r>
        <w:rPr>
          <w:rFonts w:hint="eastAsia" w:ascii="Times New Roman"/>
          <w:b/>
        </w:rPr>
        <w:t>第十三条</w:t>
      </w:r>
      <w:r>
        <w:rPr>
          <w:rFonts w:hint="eastAsia" w:ascii="Times New Roman"/>
        </w:rPr>
        <w:t>研究生学业奖学金的基本申请条件</w:t>
      </w:r>
    </w:p>
    <w:p>
      <w:pPr>
        <w:pStyle w:val="6"/>
        <w:spacing w:before="0" w:beforeAutospacing="0" w:after="0" w:afterAutospacing="0" w:line="360" w:lineRule="auto"/>
        <w:ind w:firstLine="480" w:firstLineChars="200"/>
        <w:rPr>
          <w:rFonts w:ascii="Times New Roman"/>
        </w:rPr>
      </w:pPr>
      <w:r>
        <w:rPr>
          <w:rFonts w:hint="eastAsia" w:ascii="Times New Roman"/>
        </w:rPr>
        <w:t>（一）热爱社会主义祖国，拥护中国共产党的领导；</w:t>
      </w:r>
    </w:p>
    <w:p>
      <w:pPr>
        <w:pStyle w:val="6"/>
        <w:spacing w:before="0" w:beforeAutospacing="0" w:after="0" w:afterAutospacing="0" w:line="360" w:lineRule="auto"/>
        <w:ind w:firstLine="480" w:firstLineChars="200"/>
        <w:rPr>
          <w:rFonts w:ascii="Times New Roman"/>
        </w:rPr>
      </w:pPr>
      <w:r>
        <w:rPr>
          <w:rFonts w:hint="eastAsia" w:ascii="Times New Roman"/>
        </w:rPr>
        <w:t>（二）遵守宪法和法律，遵守学校规章制度；</w:t>
      </w:r>
    </w:p>
    <w:p>
      <w:pPr>
        <w:pStyle w:val="6"/>
        <w:spacing w:before="0" w:beforeAutospacing="0" w:after="0" w:afterAutospacing="0" w:line="360" w:lineRule="auto"/>
        <w:ind w:firstLine="480" w:firstLineChars="200"/>
        <w:rPr>
          <w:rFonts w:ascii="Times New Roman"/>
        </w:rPr>
      </w:pPr>
      <w:r>
        <w:rPr>
          <w:rFonts w:hint="eastAsia" w:ascii="Times New Roman"/>
        </w:rPr>
        <w:t>（三）诚实守信，品学兼优；</w:t>
      </w:r>
    </w:p>
    <w:p>
      <w:pPr>
        <w:pStyle w:val="6"/>
        <w:spacing w:before="0" w:beforeAutospacing="0" w:after="0" w:afterAutospacing="0" w:line="360" w:lineRule="auto"/>
        <w:ind w:firstLine="480" w:firstLineChars="200"/>
        <w:rPr>
          <w:rFonts w:ascii="Times New Roman"/>
        </w:rPr>
      </w:pPr>
      <w:r>
        <w:rPr>
          <w:rFonts w:hint="eastAsia" w:ascii="Times New Roman"/>
        </w:rPr>
        <w:t>（四）积极参与科学研究和社会实践；</w:t>
      </w:r>
    </w:p>
    <w:p>
      <w:pPr>
        <w:pStyle w:val="6"/>
        <w:spacing w:before="0" w:beforeAutospacing="0" w:after="0" w:afterAutospacing="0" w:line="360" w:lineRule="auto"/>
        <w:ind w:firstLine="480" w:firstLineChars="200"/>
        <w:rPr>
          <w:rFonts w:ascii="Times New Roman"/>
        </w:rPr>
      </w:pPr>
      <w:r>
        <w:rPr>
          <w:rFonts w:hint="eastAsia" w:ascii="Times New Roman"/>
        </w:rPr>
        <w:t>（五）在评奖年度内按时缴纳学费、注册。</w:t>
      </w:r>
    </w:p>
    <w:p>
      <w:pPr>
        <w:pStyle w:val="6"/>
        <w:spacing w:line="360" w:lineRule="auto"/>
        <w:ind w:firstLine="482" w:firstLineChars="200"/>
        <w:rPr>
          <w:rFonts w:ascii="Times New Roman"/>
        </w:rPr>
      </w:pPr>
      <w:r>
        <w:rPr>
          <w:rFonts w:hint="eastAsia" w:ascii="Times New Roman"/>
          <w:b/>
        </w:rPr>
        <w:t>第十四条</w:t>
      </w:r>
      <w:r>
        <w:rPr>
          <w:rFonts w:hint="eastAsia" w:ascii="Times New Roman"/>
        </w:rPr>
        <w:t>在评奖学年内，研究生新生有违反研究生入学考试规定、在校研究生有违反研究生学籍管理规定或学校学生违纪处分条例的，不得参评当年学业奖学金。已经获得研究生学业奖学金，若发现有上述情况的，撤销学业奖学金获奖资格，收回奖学金。</w:t>
      </w:r>
    </w:p>
    <w:p>
      <w:pPr>
        <w:pStyle w:val="6"/>
        <w:spacing w:before="0" w:beforeAutospacing="0" w:after="0" w:afterAutospacing="0" w:line="360" w:lineRule="auto"/>
        <w:ind w:firstLine="482" w:firstLineChars="200"/>
        <w:rPr>
          <w:rFonts w:ascii="Times New Roman"/>
        </w:rPr>
      </w:pPr>
      <w:r>
        <w:rPr>
          <w:rFonts w:hint="eastAsia" w:ascii="Times New Roman"/>
          <w:b/>
        </w:rPr>
        <w:t>第十五条</w:t>
      </w:r>
      <w:r>
        <w:rPr>
          <w:rFonts w:hint="eastAsia" w:ascii="Times New Roman"/>
        </w:rPr>
        <w:t>研究生学业奖学金等级由学院研究生综合测评领导小组根据申报学生综合测评情况评定，其中申报一等奖学金者，其评奖学年学习成绩加权平均分必须进入班级（或专业）前50%，且单科成绩不低于75分。本年度有不及格科目者只能申报三等奖学金。</w:t>
      </w:r>
    </w:p>
    <w:p>
      <w:pPr>
        <w:pStyle w:val="6"/>
        <w:spacing w:before="0" w:beforeAutospacing="0" w:after="0" w:afterAutospacing="0" w:line="360" w:lineRule="auto"/>
        <w:ind w:firstLine="482" w:firstLineChars="200"/>
        <w:rPr>
          <w:rFonts w:ascii="Times New Roman"/>
          <w:b/>
        </w:rPr>
      </w:pPr>
      <w:r>
        <w:rPr>
          <w:rFonts w:hint="eastAsia" w:ascii="Times New Roman"/>
          <w:b/>
        </w:rPr>
        <w:t>第十六条</w:t>
      </w:r>
      <w:r>
        <w:rPr>
          <w:rFonts w:hint="eastAsia" w:ascii="Times New Roman"/>
        </w:rPr>
        <w:t>综合测评、学业奖学金依据专业或班级分别进行排名及评定。</w:t>
      </w:r>
    </w:p>
    <w:p>
      <w:pPr>
        <w:pStyle w:val="6"/>
        <w:spacing w:before="0" w:beforeAutospacing="0" w:after="0" w:afterAutospacing="0" w:line="360" w:lineRule="auto"/>
        <w:ind w:firstLine="482" w:firstLineChars="200"/>
        <w:rPr>
          <w:rFonts w:ascii="Times New Roman"/>
          <w:b/>
        </w:rPr>
      </w:pPr>
    </w:p>
    <w:p>
      <w:pPr>
        <w:pStyle w:val="6"/>
        <w:spacing w:before="0" w:beforeAutospacing="0" w:after="0" w:afterAutospacing="0" w:line="360" w:lineRule="auto"/>
        <w:ind w:firstLine="3036" w:firstLineChars="945"/>
        <w:rPr>
          <w:rFonts w:ascii="Times New Roman" w:hAnsi="Times New Roman"/>
          <w:b/>
          <w:sz w:val="32"/>
          <w:szCs w:val="32"/>
        </w:rPr>
      </w:pPr>
      <w:r>
        <w:rPr>
          <w:rFonts w:ascii="Times New Roman"/>
          <w:b/>
          <w:sz w:val="32"/>
          <w:szCs w:val="32"/>
        </w:rPr>
        <w:t>第</w:t>
      </w:r>
      <w:r>
        <w:rPr>
          <w:rFonts w:hint="eastAsia" w:ascii="Times New Roman"/>
          <w:b/>
          <w:sz w:val="32"/>
          <w:szCs w:val="32"/>
        </w:rPr>
        <w:t>九</w:t>
      </w:r>
      <w:r>
        <w:rPr>
          <w:rFonts w:ascii="Times New Roman"/>
          <w:b/>
          <w:sz w:val="32"/>
          <w:szCs w:val="32"/>
        </w:rPr>
        <w:t>章</w:t>
      </w:r>
      <w:r>
        <w:rPr>
          <w:rFonts w:hint="eastAsia" w:ascii="Times New Roman"/>
          <w:b/>
          <w:sz w:val="32"/>
          <w:szCs w:val="32"/>
        </w:rPr>
        <w:t>附则</w:t>
      </w:r>
    </w:p>
    <w:p>
      <w:pPr>
        <w:pStyle w:val="6"/>
        <w:spacing w:before="0" w:beforeAutospacing="0" w:after="0" w:afterAutospacing="0" w:line="360" w:lineRule="auto"/>
        <w:ind w:firstLine="482" w:firstLineChars="200"/>
        <w:rPr>
          <w:rFonts w:ascii="Times New Roman" w:hAnsi="Times New Roman"/>
        </w:rPr>
      </w:pPr>
      <w:r>
        <w:rPr>
          <w:rFonts w:ascii="Times New Roman"/>
          <w:b/>
        </w:rPr>
        <w:t>第</w:t>
      </w:r>
      <w:r>
        <w:rPr>
          <w:rFonts w:hint="eastAsia" w:ascii="Times New Roman"/>
          <w:b/>
        </w:rPr>
        <w:t>十七</w:t>
      </w:r>
      <w:r>
        <w:rPr>
          <w:rFonts w:ascii="Times New Roman"/>
          <w:b/>
        </w:rPr>
        <w:t>条</w:t>
      </w:r>
      <w:r>
        <w:rPr>
          <w:rFonts w:ascii="Times New Roman"/>
        </w:rPr>
        <w:t>本</w:t>
      </w:r>
      <w:r>
        <w:rPr>
          <w:rFonts w:hint="eastAsia" w:ascii="Times New Roman"/>
        </w:rPr>
        <w:t>实施</w:t>
      </w:r>
      <w:r>
        <w:rPr>
          <w:rFonts w:ascii="Times New Roman"/>
        </w:rPr>
        <w:t>细则由</w:t>
      </w:r>
      <w:r>
        <w:rPr>
          <w:rFonts w:hint="eastAsia" w:ascii="Times New Roman"/>
        </w:rPr>
        <w:t>会计学院研究生综合测评领导小组</w:t>
      </w:r>
      <w:r>
        <w:rPr>
          <w:rFonts w:ascii="Times New Roman"/>
        </w:rPr>
        <w:t>负责解释。</w:t>
      </w:r>
    </w:p>
    <w:p>
      <w:pPr>
        <w:pStyle w:val="6"/>
        <w:spacing w:before="0" w:beforeAutospacing="0" w:after="0" w:afterAutospacing="0" w:line="360" w:lineRule="auto"/>
        <w:ind w:firstLine="482" w:firstLineChars="200"/>
        <w:rPr>
          <w:rFonts w:ascii="Times New Roman" w:hAnsi="Times New Roman"/>
        </w:rPr>
      </w:pPr>
      <w:r>
        <w:rPr>
          <w:rFonts w:ascii="Times New Roman"/>
          <w:b/>
        </w:rPr>
        <w:t>第</w:t>
      </w:r>
      <w:r>
        <w:rPr>
          <w:rFonts w:hint="eastAsia" w:ascii="Times New Roman"/>
          <w:b/>
        </w:rPr>
        <w:t>十八</w:t>
      </w:r>
      <w:r>
        <w:rPr>
          <w:rFonts w:ascii="Times New Roman"/>
          <w:b/>
        </w:rPr>
        <w:t>条</w:t>
      </w:r>
      <w:r>
        <w:rPr>
          <w:rFonts w:ascii="Times New Roman"/>
        </w:rPr>
        <w:t>本</w:t>
      </w:r>
      <w:r>
        <w:rPr>
          <w:rFonts w:hint="eastAsia" w:ascii="Times New Roman"/>
        </w:rPr>
        <w:t>实施</w:t>
      </w:r>
      <w:r>
        <w:rPr>
          <w:rFonts w:ascii="Times New Roman"/>
        </w:rPr>
        <w:t>细则自</w:t>
      </w:r>
      <w:r>
        <w:rPr>
          <w:rFonts w:hint="eastAsia" w:ascii="Times New Roman"/>
        </w:rPr>
        <w:t>202</w:t>
      </w:r>
      <w:r>
        <w:rPr>
          <w:rFonts w:hint="eastAsia" w:ascii="Times New Roman"/>
          <w:lang w:val="en-US" w:eastAsia="zh-CN"/>
        </w:rPr>
        <w:t>4</w:t>
      </w:r>
      <w:r>
        <w:rPr>
          <w:rFonts w:hint="eastAsia" w:ascii="Times New Roman"/>
        </w:rPr>
        <w:t>年</w:t>
      </w:r>
      <w:r>
        <w:rPr>
          <w:rFonts w:hint="eastAsia" w:ascii="Times New Roman"/>
          <w:lang w:val="en-US" w:eastAsia="zh-CN"/>
        </w:rPr>
        <w:t>5</w:t>
      </w:r>
      <w:r>
        <w:rPr>
          <w:rFonts w:hint="eastAsia" w:ascii="Times New Roman"/>
        </w:rPr>
        <w:t>月开始</w:t>
      </w:r>
      <w:r>
        <w:rPr>
          <w:rFonts w:ascii="Times New Roman"/>
        </w:rPr>
        <w:t>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_GB2312+FPEF">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B53B48"/>
    <w:multiLevelType w:val="multilevel"/>
    <w:tmpl w:val="0CB53B48"/>
    <w:lvl w:ilvl="0" w:tentative="0">
      <w:start w:val="1"/>
      <w:numFmt w:val="japaneseCounting"/>
      <w:lvlText w:val="第%1章"/>
      <w:lvlJc w:val="left"/>
      <w:pPr>
        <w:ind w:left="945" w:hanging="945"/>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xNjlkMWEyYzkyMzQyYTY3MjA3NmZmMmE3YTBjN2UifQ=="/>
  </w:docVars>
  <w:rsids>
    <w:rsidRoot w:val="000D02ED"/>
    <w:rsid w:val="00003E0C"/>
    <w:rsid w:val="00022F2A"/>
    <w:rsid w:val="00026DD5"/>
    <w:rsid w:val="00027EC9"/>
    <w:rsid w:val="00043A6C"/>
    <w:rsid w:val="0004537A"/>
    <w:rsid w:val="0007443F"/>
    <w:rsid w:val="000A1F65"/>
    <w:rsid w:val="000A3F3B"/>
    <w:rsid w:val="000A5174"/>
    <w:rsid w:val="000A5AFC"/>
    <w:rsid w:val="000B6163"/>
    <w:rsid w:val="000C07D4"/>
    <w:rsid w:val="000D02ED"/>
    <w:rsid w:val="000D3170"/>
    <w:rsid w:val="000F61E6"/>
    <w:rsid w:val="00111547"/>
    <w:rsid w:val="00122EE0"/>
    <w:rsid w:val="00124AC2"/>
    <w:rsid w:val="001341F2"/>
    <w:rsid w:val="0014051A"/>
    <w:rsid w:val="00144B27"/>
    <w:rsid w:val="00156A5F"/>
    <w:rsid w:val="001855E3"/>
    <w:rsid w:val="00186207"/>
    <w:rsid w:val="001928AC"/>
    <w:rsid w:val="00195216"/>
    <w:rsid w:val="001A174F"/>
    <w:rsid w:val="001A4738"/>
    <w:rsid w:val="001C09EF"/>
    <w:rsid w:val="001C30DC"/>
    <w:rsid w:val="001D3C27"/>
    <w:rsid w:val="001D4B6D"/>
    <w:rsid w:val="001F308E"/>
    <w:rsid w:val="001F45AE"/>
    <w:rsid w:val="001F4E80"/>
    <w:rsid w:val="00222E3F"/>
    <w:rsid w:val="002326D0"/>
    <w:rsid w:val="00234482"/>
    <w:rsid w:val="002364A3"/>
    <w:rsid w:val="002636ED"/>
    <w:rsid w:val="002A2613"/>
    <w:rsid w:val="002D015D"/>
    <w:rsid w:val="002E1FD5"/>
    <w:rsid w:val="002E3E44"/>
    <w:rsid w:val="002E7F20"/>
    <w:rsid w:val="002F173A"/>
    <w:rsid w:val="00302443"/>
    <w:rsid w:val="00305B8D"/>
    <w:rsid w:val="00306BA0"/>
    <w:rsid w:val="003513B2"/>
    <w:rsid w:val="003610F1"/>
    <w:rsid w:val="003709BF"/>
    <w:rsid w:val="00387185"/>
    <w:rsid w:val="00392016"/>
    <w:rsid w:val="00395383"/>
    <w:rsid w:val="003B002E"/>
    <w:rsid w:val="003B2984"/>
    <w:rsid w:val="003B6D57"/>
    <w:rsid w:val="003B6F8A"/>
    <w:rsid w:val="003C7B6F"/>
    <w:rsid w:val="003F0EB9"/>
    <w:rsid w:val="003F10A6"/>
    <w:rsid w:val="003F6464"/>
    <w:rsid w:val="00414057"/>
    <w:rsid w:val="00425BED"/>
    <w:rsid w:val="004467E0"/>
    <w:rsid w:val="004504B7"/>
    <w:rsid w:val="004600CB"/>
    <w:rsid w:val="00481E59"/>
    <w:rsid w:val="00490F61"/>
    <w:rsid w:val="0049324A"/>
    <w:rsid w:val="00493C76"/>
    <w:rsid w:val="004A1F17"/>
    <w:rsid w:val="004A5E91"/>
    <w:rsid w:val="004A7204"/>
    <w:rsid w:val="004B09AB"/>
    <w:rsid w:val="004B4236"/>
    <w:rsid w:val="004C2F20"/>
    <w:rsid w:val="004C608D"/>
    <w:rsid w:val="004D3AA4"/>
    <w:rsid w:val="004E4B21"/>
    <w:rsid w:val="00502D64"/>
    <w:rsid w:val="005118A5"/>
    <w:rsid w:val="005267F8"/>
    <w:rsid w:val="00531FCE"/>
    <w:rsid w:val="00540B04"/>
    <w:rsid w:val="005423E0"/>
    <w:rsid w:val="0055784E"/>
    <w:rsid w:val="005624AA"/>
    <w:rsid w:val="00565C63"/>
    <w:rsid w:val="0059176D"/>
    <w:rsid w:val="00593411"/>
    <w:rsid w:val="00597E71"/>
    <w:rsid w:val="005A07EB"/>
    <w:rsid w:val="005A21DB"/>
    <w:rsid w:val="005B1BB8"/>
    <w:rsid w:val="005B5D50"/>
    <w:rsid w:val="005D28D9"/>
    <w:rsid w:val="005F43A3"/>
    <w:rsid w:val="006006C8"/>
    <w:rsid w:val="006021B7"/>
    <w:rsid w:val="00605DFD"/>
    <w:rsid w:val="00613897"/>
    <w:rsid w:val="00641324"/>
    <w:rsid w:val="00643D56"/>
    <w:rsid w:val="00657524"/>
    <w:rsid w:val="00663A74"/>
    <w:rsid w:val="006653CB"/>
    <w:rsid w:val="006818A4"/>
    <w:rsid w:val="00690B60"/>
    <w:rsid w:val="006A0440"/>
    <w:rsid w:val="006B4374"/>
    <w:rsid w:val="006B4523"/>
    <w:rsid w:val="006E2F08"/>
    <w:rsid w:val="006F6501"/>
    <w:rsid w:val="007048F3"/>
    <w:rsid w:val="00714E53"/>
    <w:rsid w:val="00716F98"/>
    <w:rsid w:val="00740D63"/>
    <w:rsid w:val="00746DC6"/>
    <w:rsid w:val="00747F04"/>
    <w:rsid w:val="00753A58"/>
    <w:rsid w:val="00753DDD"/>
    <w:rsid w:val="0076114B"/>
    <w:rsid w:val="00773E22"/>
    <w:rsid w:val="007745EB"/>
    <w:rsid w:val="00786C7E"/>
    <w:rsid w:val="0079799D"/>
    <w:rsid w:val="007A2B09"/>
    <w:rsid w:val="007A68E1"/>
    <w:rsid w:val="007B67CA"/>
    <w:rsid w:val="007B6A90"/>
    <w:rsid w:val="007D73CC"/>
    <w:rsid w:val="00814EA4"/>
    <w:rsid w:val="00831D25"/>
    <w:rsid w:val="00842AED"/>
    <w:rsid w:val="0086328C"/>
    <w:rsid w:val="00870733"/>
    <w:rsid w:val="00875076"/>
    <w:rsid w:val="008820A6"/>
    <w:rsid w:val="0088377B"/>
    <w:rsid w:val="00883A53"/>
    <w:rsid w:val="008A18D3"/>
    <w:rsid w:val="008A1C78"/>
    <w:rsid w:val="008B212F"/>
    <w:rsid w:val="008D57B1"/>
    <w:rsid w:val="008D5F5E"/>
    <w:rsid w:val="008D7CAE"/>
    <w:rsid w:val="008E759D"/>
    <w:rsid w:val="008F0019"/>
    <w:rsid w:val="008F0564"/>
    <w:rsid w:val="008F68C2"/>
    <w:rsid w:val="00902807"/>
    <w:rsid w:val="00902E20"/>
    <w:rsid w:val="0091230F"/>
    <w:rsid w:val="009145BA"/>
    <w:rsid w:val="00925472"/>
    <w:rsid w:val="00926587"/>
    <w:rsid w:val="00934304"/>
    <w:rsid w:val="00964F74"/>
    <w:rsid w:val="00965BA7"/>
    <w:rsid w:val="00971374"/>
    <w:rsid w:val="00980744"/>
    <w:rsid w:val="009910FA"/>
    <w:rsid w:val="009914E1"/>
    <w:rsid w:val="009B3106"/>
    <w:rsid w:val="009B3385"/>
    <w:rsid w:val="009C4DF6"/>
    <w:rsid w:val="009E0758"/>
    <w:rsid w:val="009E0F45"/>
    <w:rsid w:val="009E1F7C"/>
    <w:rsid w:val="00A0690E"/>
    <w:rsid w:val="00A15D08"/>
    <w:rsid w:val="00A26B5A"/>
    <w:rsid w:val="00A27534"/>
    <w:rsid w:val="00A42951"/>
    <w:rsid w:val="00A4569C"/>
    <w:rsid w:val="00A71C79"/>
    <w:rsid w:val="00A72685"/>
    <w:rsid w:val="00A77633"/>
    <w:rsid w:val="00A82646"/>
    <w:rsid w:val="00A83229"/>
    <w:rsid w:val="00A948B4"/>
    <w:rsid w:val="00AA02A0"/>
    <w:rsid w:val="00AA27CB"/>
    <w:rsid w:val="00AA41A9"/>
    <w:rsid w:val="00AC1C74"/>
    <w:rsid w:val="00AC52ED"/>
    <w:rsid w:val="00AD2076"/>
    <w:rsid w:val="00AD6261"/>
    <w:rsid w:val="00AE2565"/>
    <w:rsid w:val="00AE4780"/>
    <w:rsid w:val="00AE6EF8"/>
    <w:rsid w:val="00B074BF"/>
    <w:rsid w:val="00B13544"/>
    <w:rsid w:val="00B17C36"/>
    <w:rsid w:val="00B774C7"/>
    <w:rsid w:val="00B86FB7"/>
    <w:rsid w:val="00B9251E"/>
    <w:rsid w:val="00B978D2"/>
    <w:rsid w:val="00BA3AAE"/>
    <w:rsid w:val="00BA77DC"/>
    <w:rsid w:val="00BC2B08"/>
    <w:rsid w:val="00BD7018"/>
    <w:rsid w:val="00BE6D92"/>
    <w:rsid w:val="00BF5C5B"/>
    <w:rsid w:val="00C02F9E"/>
    <w:rsid w:val="00C038E6"/>
    <w:rsid w:val="00C20B27"/>
    <w:rsid w:val="00C47B82"/>
    <w:rsid w:val="00C47BC5"/>
    <w:rsid w:val="00C5215E"/>
    <w:rsid w:val="00C75264"/>
    <w:rsid w:val="00C76167"/>
    <w:rsid w:val="00CA0AB8"/>
    <w:rsid w:val="00CA44FB"/>
    <w:rsid w:val="00CB6723"/>
    <w:rsid w:val="00CB6C72"/>
    <w:rsid w:val="00CD4108"/>
    <w:rsid w:val="00D10A03"/>
    <w:rsid w:val="00D2229D"/>
    <w:rsid w:val="00D329AB"/>
    <w:rsid w:val="00D52107"/>
    <w:rsid w:val="00D54DAD"/>
    <w:rsid w:val="00D5666B"/>
    <w:rsid w:val="00D65BEB"/>
    <w:rsid w:val="00D70DC8"/>
    <w:rsid w:val="00D856FB"/>
    <w:rsid w:val="00DA1E8B"/>
    <w:rsid w:val="00DA2005"/>
    <w:rsid w:val="00DA7D7E"/>
    <w:rsid w:val="00DB1683"/>
    <w:rsid w:val="00DB616D"/>
    <w:rsid w:val="00DC04EF"/>
    <w:rsid w:val="00DD7A89"/>
    <w:rsid w:val="00DD7B77"/>
    <w:rsid w:val="00DE013B"/>
    <w:rsid w:val="00DE5B99"/>
    <w:rsid w:val="00DE7593"/>
    <w:rsid w:val="00E13B9D"/>
    <w:rsid w:val="00E2049A"/>
    <w:rsid w:val="00E21C5C"/>
    <w:rsid w:val="00E36614"/>
    <w:rsid w:val="00E63D5A"/>
    <w:rsid w:val="00E665B3"/>
    <w:rsid w:val="00E7167A"/>
    <w:rsid w:val="00E71C1F"/>
    <w:rsid w:val="00E92C95"/>
    <w:rsid w:val="00EA6DC8"/>
    <w:rsid w:val="00EA74FF"/>
    <w:rsid w:val="00EB08C0"/>
    <w:rsid w:val="00EB1071"/>
    <w:rsid w:val="00EB3FC7"/>
    <w:rsid w:val="00EB44C7"/>
    <w:rsid w:val="00EB790E"/>
    <w:rsid w:val="00ED1111"/>
    <w:rsid w:val="00ED2EE5"/>
    <w:rsid w:val="00ED3513"/>
    <w:rsid w:val="00ED5416"/>
    <w:rsid w:val="00EF6989"/>
    <w:rsid w:val="00F109CE"/>
    <w:rsid w:val="00F11CC6"/>
    <w:rsid w:val="00F21CD8"/>
    <w:rsid w:val="00F23214"/>
    <w:rsid w:val="00F24624"/>
    <w:rsid w:val="00F31AF8"/>
    <w:rsid w:val="00F32F90"/>
    <w:rsid w:val="00F618C2"/>
    <w:rsid w:val="00F65127"/>
    <w:rsid w:val="00F7782B"/>
    <w:rsid w:val="00F80EDE"/>
    <w:rsid w:val="00F951AF"/>
    <w:rsid w:val="00FA5767"/>
    <w:rsid w:val="00FB0FD1"/>
    <w:rsid w:val="00FB6E6C"/>
    <w:rsid w:val="00FB7A73"/>
    <w:rsid w:val="00FD0CF0"/>
    <w:rsid w:val="00FD0F70"/>
    <w:rsid w:val="00FD7D9A"/>
    <w:rsid w:val="00FE38D1"/>
    <w:rsid w:val="00FE6901"/>
    <w:rsid w:val="00FF4EAC"/>
    <w:rsid w:val="01DE14C7"/>
    <w:rsid w:val="2208666C"/>
    <w:rsid w:val="2B13649F"/>
    <w:rsid w:val="2D1634A1"/>
    <w:rsid w:val="4BE22ABA"/>
    <w:rsid w:val="4F671835"/>
    <w:rsid w:val="526D6FC5"/>
    <w:rsid w:val="53253456"/>
    <w:rsid w:val="5D895BE0"/>
    <w:rsid w:val="6F4B500E"/>
    <w:rsid w:val="72257B6E"/>
    <w:rsid w:val="7470739E"/>
    <w:rsid w:val="7E3B4F6E"/>
    <w:rsid w:val="7E3D467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uiPriority w:val="99"/>
    <w:pPr>
      <w:spacing w:line="360" w:lineRule="atLeast"/>
      <w:ind w:firstLine="405" w:firstLineChars="193"/>
    </w:pPr>
    <w:rPr>
      <w:rFonts w:ascii="Times New Roman" w:hAnsi="Times New Roman"/>
      <w:kern w:val="0"/>
      <w:sz w:val="24"/>
      <w:szCs w:val="24"/>
    </w:rPr>
  </w:style>
  <w:style w:type="paragraph" w:styleId="3">
    <w:name w:val="Balloon Text"/>
    <w:basedOn w:val="1"/>
    <w:link w:val="13"/>
    <w:semiHidden/>
    <w:qFormat/>
    <w:uiPriority w:val="99"/>
    <w:rPr>
      <w:kern w:val="0"/>
      <w:sz w:val="18"/>
      <w:szCs w:val="18"/>
    </w:rPr>
  </w:style>
  <w:style w:type="paragraph" w:styleId="4">
    <w:name w:val="footer"/>
    <w:basedOn w:val="1"/>
    <w:link w:val="11"/>
    <w:semiHidden/>
    <w:uiPriority w:val="99"/>
    <w:pPr>
      <w:tabs>
        <w:tab w:val="center" w:pos="4153"/>
        <w:tab w:val="right" w:pos="8306"/>
      </w:tabs>
      <w:snapToGrid w:val="0"/>
      <w:jc w:val="left"/>
    </w:pPr>
    <w:rPr>
      <w:kern w:val="0"/>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semiHidden/>
    <w:qFormat/>
    <w:locked/>
    <w:uiPriority w:val="99"/>
    <w:rPr>
      <w:rFonts w:cs="Times New Roman"/>
      <w:sz w:val="18"/>
    </w:rPr>
  </w:style>
  <w:style w:type="character" w:customStyle="1" w:styleId="11">
    <w:name w:val="页脚 Char"/>
    <w:basedOn w:val="9"/>
    <w:link w:val="4"/>
    <w:semiHidden/>
    <w:qFormat/>
    <w:locked/>
    <w:uiPriority w:val="99"/>
    <w:rPr>
      <w:rFonts w:cs="Times New Roman"/>
      <w:sz w:val="18"/>
    </w:rPr>
  </w:style>
  <w:style w:type="paragraph" w:styleId="12">
    <w:name w:val="List Paragraph"/>
    <w:basedOn w:val="1"/>
    <w:qFormat/>
    <w:uiPriority w:val="99"/>
    <w:pPr>
      <w:ind w:firstLine="420" w:firstLineChars="200"/>
    </w:pPr>
  </w:style>
  <w:style w:type="character" w:customStyle="1" w:styleId="13">
    <w:name w:val="批注框文本 Char"/>
    <w:basedOn w:val="9"/>
    <w:link w:val="3"/>
    <w:semiHidden/>
    <w:qFormat/>
    <w:locked/>
    <w:uiPriority w:val="99"/>
    <w:rPr>
      <w:rFonts w:cs="Times New Roman"/>
      <w:sz w:val="18"/>
    </w:rPr>
  </w:style>
  <w:style w:type="character" w:customStyle="1" w:styleId="14">
    <w:name w:val="正文文本缩进 Char"/>
    <w:basedOn w:val="9"/>
    <w:link w:val="2"/>
    <w:locked/>
    <w:uiPriority w:val="99"/>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C8CE04-B4F3-42BA-9448-1CB692AB9D0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6816</Words>
  <Characters>7278</Characters>
  <Lines>56</Lines>
  <Paragraphs>15</Paragraphs>
  <TotalTime>2</TotalTime>
  <ScaleCrop>false</ScaleCrop>
  <LinksUpToDate>false</LinksUpToDate>
  <CharactersWithSpaces>7319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2021-04-01T07:31:00Z</dcterms:created>
  <dc:creator>Jenny</dc:creator>
  <cp:lastModifiedBy>hp</cp:lastModifiedBy>
  <cp:lastPrinted>2024-04-29T02:19:00Z</cp:lastPrinted>
  <dcterms:modified xsi:type="dcterms:W3CDTF">2024-10-10T07:41:46Z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6A89818782204FFCB90A11E8EE81B230_13</vt:lpwstr>
  </property>
</Properties>
</file>